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E151C0">
      <w:pPr>
        <w:ind w:firstLine="278"/>
        <w:jc w:val="center"/>
        <w:outlineLvl w:val="0"/>
        <w:rPr>
          <w:rFonts w:hint="eastAsia" w:ascii="仿宋_GB2312" w:hAnsi="宋体"/>
          <w:b/>
          <w:bCs/>
          <w:spacing w:val="40"/>
          <w:w w:val="80"/>
          <w:sz w:val="130"/>
          <w:lang w:val="hr-HR" w:bidi="ar-EG"/>
        </w:rPr>
      </w:pPr>
    </w:p>
    <w:p w14:paraId="75F9D849">
      <w:pPr>
        <w:ind w:firstLine="278"/>
        <w:jc w:val="center"/>
        <w:outlineLvl w:val="0"/>
        <w:rPr>
          <w:rFonts w:hint="eastAsia" w:ascii="仿宋_GB2312" w:hAnsi="宋体"/>
          <w:b/>
          <w:bCs/>
          <w:spacing w:val="40"/>
          <w:w w:val="80"/>
          <w:sz w:val="144"/>
          <w:szCs w:val="96"/>
          <w:lang w:val="hr-HR" w:bidi="ar-EG"/>
        </w:rPr>
      </w:pPr>
      <w:r>
        <w:rPr>
          <w:rFonts w:hint="eastAsia" w:ascii="仿宋_GB2312" w:hAnsi="宋体"/>
          <w:b/>
          <w:bCs/>
          <w:spacing w:val="40"/>
          <w:w w:val="80"/>
          <w:sz w:val="144"/>
          <w:szCs w:val="96"/>
          <w:lang w:val="hr-HR" w:bidi="ar-EG"/>
        </w:rPr>
        <w:t>招 标 文 件</w:t>
      </w:r>
    </w:p>
    <w:p w14:paraId="436BF46E">
      <w:pPr>
        <w:ind w:firstLine="278"/>
        <w:rPr>
          <w:rFonts w:hint="eastAsia" w:ascii="宋体" w:hAnsi="宋体"/>
          <w:sz w:val="24"/>
          <w:lang w:val="hr-HR" w:bidi="ar-EG"/>
        </w:rPr>
      </w:pPr>
    </w:p>
    <w:p w14:paraId="5F24A0F2">
      <w:pPr>
        <w:spacing w:line="360" w:lineRule="auto"/>
        <w:ind w:firstLine="280"/>
        <w:rPr>
          <w:rFonts w:hint="eastAsia" w:ascii="宋体" w:hAnsi="宋体"/>
          <w:sz w:val="24"/>
          <w:lang w:val="hr-HR" w:bidi="ar-EG"/>
        </w:rPr>
      </w:pPr>
    </w:p>
    <w:p w14:paraId="41DDF5F8">
      <w:pPr>
        <w:spacing w:line="360" w:lineRule="auto"/>
        <w:ind w:firstLine="280"/>
        <w:rPr>
          <w:rFonts w:hint="eastAsia" w:ascii="宋体" w:hAnsi="宋体"/>
          <w:sz w:val="24"/>
          <w:lang w:val="hr-HR" w:bidi="ar-EG"/>
        </w:rPr>
      </w:pPr>
    </w:p>
    <w:p w14:paraId="2ED25C0A">
      <w:pPr>
        <w:spacing w:line="360" w:lineRule="auto"/>
        <w:ind w:firstLine="280"/>
        <w:rPr>
          <w:rFonts w:hint="eastAsia" w:ascii="宋体" w:hAnsi="宋体"/>
          <w:sz w:val="24"/>
          <w:lang w:val="hr-HR" w:bidi="ar-EG"/>
        </w:rPr>
      </w:pPr>
    </w:p>
    <w:p w14:paraId="3190A053">
      <w:pPr>
        <w:spacing w:line="360" w:lineRule="auto"/>
        <w:ind w:firstLine="280"/>
        <w:rPr>
          <w:rFonts w:hint="eastAsia" w:ascii="宋体" w:hAnsi="宋体"/>
          <w:sz w:val="24"/>
          <w:lang w:val="hr-HR" w:bidi="ar-EG"/>
        </w:rPr>
      </w:pPr>
    </w:p>
    <w:p w14:paraId="773AD22F">
      <w:pPr>
        <w:spacing w:line="360" w:lineRule="auto"/>
        <w:ind w:firstLine="280"/>
        <w:rPr>
          <w:rFonts w:hint="eastAsia" w:ascii="宋体" w:hAnsi="宋体"/>
          <w:sz w:val="24"/>
          <w:lang w:val="hr-HR" w:bidi="ar-EG"/>
        </w:rPr>
      </w:pPr>
    </w:p>
    <w:p w14:paraId="230328CC">
      <w:pPr>
        <w:spacing w:line="360" w:lineRule="auto"/>
        <w:ind w:firstLine="280"/>
        <w:rPr>
          <w:rFonts w:hint="eastAsia" w:ascii="宋体" w:hAnsi="宋体"/>
          <w:sz w:val="24"/>
          <w:lang w:val="hr-HR" w:bidi="ar-EG"/>
        </w:rPr>
      </w:pPr>
    </w:p>
    <w:p w14:paraId="0823F002">
      <w:pPr>
        <w:spacing w:line="360" w:lineRule="auto"/>
        <w:rPr>
          <w:rFonts w:hint="eastAsia" w:ascii="宋体" w:hAnsi="宋体" w:eastAsia="宋体" w:cs="Times New Roman"/>
          <w:sz w:val="32"/>
          <w:szCs w:val="32"/>
          <w:lang w:val="hr-HR" w:eastAsia="zh-CN" w:bidi="ar-EG"/>
        </w:rPr>
      </w:pPr>
      <w:r>
        <w:rPr>
          <w:rFonts w:hint="eastAsia" w:ascii="宋体" w:hAnsi="宋体"/>
          <w:sz w:val="32"/>
          <w:szCs w:val="32"/>
          <w:lang w:val="hr-HR" w:bidi="ar-EG"/>
        </w:rPr>
        <w:t>招标编号：</w:t>
      </w:r>
      <w:r>
        <w:rPr>
          <w:rFonts w:hint="eastAsia" w:ascii="宋体" w:hAnsi="宋体" w:eastAsia="宋体" w:cs="Times New Roman"/>
          <w:sz w:val="32"/>
          <w:szCs w:val="32"/>
          <w:lang w:val="hr-HR" w:bidi="ar-EG"/>
        </w:rPr>
        <w:t>ZHBGW202503-02</w:t>
      </w:r>
    </w:p>
    <w:p w14:paraId="606CE979">
      <w:pPr>
        <w:spacing w:line="360" w:lineRule="auto"/>
        <w:ind w:left="1600" w:hanging="1600" w:hangingChars="500"/>
        <w:rPr>
          <w:rFonts w:hint="eastAsia" w:ascii="宋体" w:hAnsi="宋体"/>
          <w:sz w:val="32"/>
          <w:szCs w:val="32"/>
          <w:lang w:val="hr-HR" w:bidi="ar-EG"/>
        </w:rPr>
      </w:pPr>
      <w:r>
        <w:rPr>
          <w:rFonts w:hint="eastAsia" w:ascii="宋体" w:hAnsi="宋体"/>
          <w:sz w:val="32"/>
          <w:szCs w:val="32"/>
          <w:lang w:val="hr-HR" w:bidi="ar-EG"/>
        </w:rPr>
        <w:t>项目名称：</w:t>
      </w:r>
      <w:r>
        <w:rPr>
          <w:rFonts w:hint="eastAsia" w:ascii="宋体" w:hAnsi="宋体"/>
          <w:sz w:val="29"/>
          <w:szCs w:val="29"/>
          <w:lang w:bidi="ar-EG"/>
        </w:rPr>
        <w:t>湖北日报传媒集团202</w:t>
      </w:r>
      <w:r>
        <w:rPr>
          <w:rFonts w:hint="eastAsia" w:ascii="宋体" w:hAnsi="宋体"/>
          <w:sz w:val="29"/>
          <w:szCs w:val="29"/>
          <w:lang w:val="en-US" w:eastAsia="zh-CN" w:bidi="ar-EG"/>
        </w:rPr>
        <w:t>5</w:t>
      </w:r>
      <w:r>
        <w:rPr>
          <w:rFonts w:hint="eastAsia" w:ascii="宋体" w:hAnsi="宋体"/>
          <w:sz w:val="29"/>
          <w:szCs w:val="29"/>
          <w:lang w:bidi="ar-EG"/>
        </w:rPr>
        <w:t>-202</w:t>
      </w:r>
      <w:r>
        <w:rPr>
          <w:rFonts w:hint="eastAsia" w:ascii="宋体" w:hAnsi="宋体"/>
          <w:sz w:val="29"/>
          <w:szCs w:val="29"/>
          <w:lang w:val="en-US" w:eastAsia="zh-CN" w:bidi="ar-EG"/>
        </w:rPr>
        <w:t>7</w:t>
      </w:r>
      <w:r>
        <w:rPr>
          <w:rFonts w:hint="eastAsia" w:ascii="宋体" w:hAnsi="宋体"/>
          <w:sz w:val="29"/>
          <w:szCs w:val="29"/>
          <w:lang w:bidi="ar-EG"/>
        </w:rPr>
        <w:t>年</w:t>
      </w:r>
      <w:r>
        <w:rPr>
          <w:rFonts w:hint="eastAsia" w:ascii="宋体" w:hAnsi="宋体"/>
          <w:sz w:val="29"/>
          <w:szCs w:val="29"/>
          <w:lang w:val="en-US" w:eastAsia="zh-CN" w:bidi="ar-EG"/>
        </w:rPr>
        <w:t>度资产评估</w:t>
      </w:r>
      <w:r>
        <w:rPr>
          <w:rFonts w:hint="eastAsia" w:ascii="宋体" w:hAnsi="宋体"/>
          <w:sz w:val="29"/>
          <w:szCs w:val="29"/>
          <w:lang w:bidi="ar-EG"/>
        </w:rPr>
        <w:t>服务供应商</w:t>
      </w:r>
      <w:r>
        <w:rPr>
          <w:rFonts w:hint="eastAsia" w:ascii="宋体" w:hAnsi="宋体"/>
          <w:sz w:val="29"/>
          <w:szCs w:val="29"/>
          <w:lang w:val="en-US" w:eastAsia="zh-CN" w:bidi="ar-EG"/>
        </w:rPr>
        <w:t>入</w:t>
      </w:r>
      <w:r>
        <w:rPr>
          <w:rFonts w:hint="eastAsia" w:ascii="宋体" w:hAnsi="宋体"/>
          <w:sz w:val="29"/>
          <w:szCs w:val="29"/>
          <w:lang w:bidi="ar-EG"/>
        </w:rPr>
        <w:t>库</w:t>
      </w:r>
      <w:r>
        <w:rPr>
          <w:rFonts w:hint="eastAsia" w:ascii="宋体" w:hAnsi="宋体"/>
          <w:sz w:val="29"/>
          <w:szCs w:val="29"/>
          <w:lang w:val="hr-HR" w:bidi="ar-EG"/>
        </w:rPr>
        <w:t>项目</w:t>
      </w:r>
    </w:p>
    <w:p w14:paraId="1155FC86">
      <w:pPr>
        <w:spacing w:line="360" w:lineRule="auto"/>
        <w:ind w:left="1600" w:hanging="1600" w:hangingChars="500"/>
        <w:rPr>
          <w:rFonts w:ascii="宋体" w:hAnsi="宋体" w:eastAsia="宋体"/>
          <w:sz w:val="32"/>
          <w:szCs w:val="32"/>
          <w:lang w:val="en-US" w:eastAsia="zh-CN" w:bidi="ar-EG"/>
        </w:rPr>
      </w:pPr>
      <w:r>
        <w:rPr>
          <w:rFonts w:hint="eastAsia" w:ascii="宋体" w:hAnsi="宋体"/>
          <w:sz w:val="32"/>
          <w:szCs w:val="32"/>
          <w:lang w:val="hr-HR" w:bidi="ar-EG"/>
        </w:rPr>
        <w:t>招标内容：</w:t>
      </w:r>
      <w:r>
        <w:rPr>
          <w:rFonts w:hint="eastAsia" w:ascii="宋体" w:hAnsi="宋体"/>
          <w:sz w:val="32"/>
          <w:szCs w:val="32"/>
          <w:lang w:bidi="ar-EG"/>
        </w:rPr>
        <w:t>集团土地、房产，公司股权、公司清算，资产租赁及其他资产项目评估服务（涉及传媒产业类资产包括：印刷设备、酒店设备、互联网IT软硬件设备、无形资产等）</w:t>
      </w:r>
    </w:p>
    <w:p w14:paraId="552CFCBE">
      <w:pPr>
        <w:spacing w:line="360" w:lineRule="auto"/>
        <w:rPr>
          <w:rFonts w:hint="eastAsia" w:ascii="宋体" w:hAnsi="宋体"/>
          <w:lang w:val="hr-HR" w:bidi="ar-EG"/>
        </w:rPr>
      </w:pPr>
    </w:p>
    <w:p w14:paraId="3171B187">
      <w:pPr>
        <w:spacing w:line="360" w:lineRule="auto"/>
        <w:rPr>
          <w:rFonts w:hint="eastAsia" w:ascii="宋体" w:hAnsi="宋体"/>
          <w:lang w:val="hr-HR" w:bidi="ar-EG"/>
        </w:rPr>
      </w:pPr>
    </w:p>
    <w:p w14:paraId="4AA1FE40">
      <w:pPr>
        <w:spacing w:line="360" w:lineRule="auto"/>
        <w:rPr>
          <w:rFonts w:hint="eastAsia" w:ascii="宋体" w:hAnsi="宋体"/>
          <w:lang w:val="hr-HR" w:bidi="ar-EG"/>
        </w:rPr>
      </w:pPr>
    </w:p>
    <w:p w14:paraId="081A4BB9">
      <w:pPr>
        <w:spacing w:line="360" w:lineRule="auto"/>
        <w:ind w:firstLine="280"/>
        <w:jc w:val="center"/>
        <w:rPr>
          <w:rFonts w:hint="eastAsia" w:ascii="仿宋_GB2312" w:hAnsi="宋体"/>
          <w:b/>
          <w:sz w:val="32"/>
          <w:szCs w:val="32"/>
          <w:lang w:bidi="ar-EG"/>
        </w:rPr>
      </w:pPr>
      <w:r>
        <w:rPr>
          <w:rFonts w:hint="eastAsia" w:ascii="仿宋_GB2312" w:hAnsi="宋体"/>
          <w:b/>
          <w:sz w:val="32"/>
          <w:szCs w:val="32"/>
          <w:lang w:val="hr-HR" w:bidi="ar-EG"/>
        </w:rPr>
        <w:t>湖北日报传媒集团招标采购</w:t>
      </w:r>
      <w:r>
        <w:rPr>
          <w:rFonts w:hint="eastAsia" w:ascii="仿宋_GB2312" w:hAnsi="宋体"/>
          <w:b/>
          <w:sz w:val="32"/>
          <w:szCs w:val="32"/>
          <w:lang w:bidi="ar-EG"/>
        </w:rPr>
        <w:t>部</w:t>
      </w:r>
    </w:p>
    <w:p w14:paraId="303F8B2B">
      <w:pPr>
        <w:spacing w:line="360" w:lineRule="auto"/>
        <w:ind w:firstLine="280"/>
        <w:jc w:val="center"/>
        <w:rPr>
          <w:rFonts w:hint="eastAsia" w:ascii="宋体" w:hAnsi="宋体"/>
          <w:b/>
          <w:sz w:val="32"/>
          <w:szCs w:val="32"/>
          <w:lang w:bidi="ar-EG"/>
        </w:rPr>
      </w:pPr>
      <w:r>
        <w:rPr>
          <w:rFonts w:hint="eastAsia" w:ascii="宋体" w:hAnsi="宋体"/>
          <w:b/>
          <w:sz w:val="32"/>
          <w:szCs w:val="32"/>
          <w:lang w:val="hr-HR" w:bidi="ar-EG"/>
        </w:rPr>
        <w:t>二○</w:t>
      </w:r>
      <w:r>
        <w:rPr>
          <w:rFonts w:hint="eastAsia" w:ascii="宋体" w:hAnsi="宋体"/>
          <w:b/>
          <w:sz w:val="32"/>
          <w:szCs w:val="32"/>
          <w:lang w:bidi="ar-EG"/>
        </w:rPr>
        <w:t>二</w:t>
      </w:r>
      <w:r>
        <w:rPr>
          <w:rFonts w:hint="eastAsia" w:ascii="宋体" w:hAnsi="宋体"/>
          <w:b/>
          <w:sz w:val="32"/>
          <w:szCs w:val="32"/>
          <w:lang w:val="en-US" w:eastAsia="zh-CN" w:bidi="ar-EG"/>
        </w:rPr>
        <w:t>五</w:t>
      </w:r>
      <w:r>
        <w:rPr>
          <w:rFonts w:hint="eastAsia" w:ascii="宋体" w:hAnsi="宋体"/>
          <w:b/>
          <w:sz w:val="32"/>
          <w:szCs w:val="32"/>
          <w:lang w:val="hr-HR" w:bidi="ar-EG"/>
        </w:rPr>
        <w:t>年</w:t>
      </w:r>
      <w:r>
        <w:rPr>
          <w:rFonts w:hint="eastAsia" w:ascii="宋体" w:hAnsi="宋体"/>
          <w:b/>
          <w:sz w:val="32"/>
          <w:szCs w:val="32"/>
          <w:lang w:val="en-US" w:eastAsia="zh-CN" w:bidi="ar-EG"/>
        </w:rPr>
        <w:t>二</w:t>
      </w:r>
      <w:r>
        <w:rPr>
          <w:rFonts w:hint="eastAsia" w:ascii="宋体" w:hAnsi="宋体"/>
          <w:b/>
          <w:sz w:val="32"/>
          <w:szCs w:val="32"/>
          <w:lang w:bidi="ar-EG"/>
        </w:rPr>
        <w:t>月</w:t>
      </w:r>
    </w:p>
    <w:p w14:paraId="624CC633">
      <w:pPr>
        <w:jc w:val="center"/>
        <w:rPr>
          <w:rFonts w:ascii="华文中宋" w:hAnsi="华文中宋" w:eastAsia="华文中宋" w:cs="华文中宋"/>
          <w:b/>
          <w:bCs/>
          <w:sz w:val="44"/>
          <w:szCs w:val="44"/>
        </w:rPr>
      </w:pPr>
    </w:p>
    <w:p w14:paraId="581A6489">
      <w:pPr>
        <w:jc w:val="center"/>
        <w:rPr>
          <w:rFonts w:ascii="华文中宋" w:hAnsi="华文中宋" w:eastAsia="华文中宋" w:cs="华文中宋"/>
          <w:b/>
          <w:bCs/>
          <w:sz w:val="44"/>
          <w:szCs w:val="44"/>
        </w:rPr>
      </w:pPr>
    </w:p>
    <w:p w14:paraId="6E471D03">
      <w:pPr>
        <w:jc w:val="center"/>
        <w:rPr>
          <w:rFonts w:ascii="华文中宋" w:hAnsi="华文中宋" w:eastAsia="华文中宋" w:cs="华文中宋"/>
          <w:b/>
          <w:bCs/>
          <w:sz w:val="44"/>
          <w:szCs w:val="44"/>
        </w:rPr>
      </w:pPr>
    </w:p>
    <w:p w14:paraId="2F27560D">
      <w:pPr>
        <w:jc w:val="center"/>
        <w:rPr>
          <w:rFonts w:ascii="华文中宋" w:hAnsi="华文中宋" w:eastAsia="华文中宋" w:cs="华文中宋"/>
          <w:b/>
          <w:bCs/>
          <w:sz w:val="44"/>
          <w:szCs w:val="44"/>
        </w:rPr>
      </w:pPr>
    </w:p>
    <w:p w14:paraId="20859EBE">
      <w:pPr>
        <w:autoSpaceDE w:val="0"/>
        <w:autoSpaceDN w:val="0"/>
        <w:spacing w:line="360" w:lineRule="auto"/>
        <w:jc w:val="center"/>
        <w:rPr>
          <w:rFonts w:hint="eastAsia" w:ascii="仿宋" w:hAnsi="仿宋" w:eastAsia="仿宋"/>
          <w:b/>
          <w:kern w:val="0"/>
          <w:sz w:val="36"/>
          <w:szCs w:val="36"/>
        </w:rPr>
      </w:pPr>
      <w:r>
        <w:rPr>
          <w:rFonts w:hint="eastAsia" w:ascii="仿宋" w:hAnsi="仿宋" w:eastAsia="仿宋"/>
          <w:b/>
          <w:sz w:val="36"/>
          <w:szCs w:val="36"/>
          <w:lang w:val="zh-CN"/>
        </w:rPr>
        <w:t>投标邀请函</w:t>
      </w:r>
    </w:p>
    <w:p w14:paraId="6D15FAB6">
      <w:pPr>
        <w:pStyle w:val="2"/>
        <w:spacing w:line="480" w:lineRule="exact"/>
        <w:ind w:firstLine="480"/>
        <w:rPr>
          <w:rFonts w:hint="eastAsia" w:ascii="仿宋" w:hAnsi="仿宋" w:eastAsia="仿宋"/>
          <w:sz w:val="24"/>
        </w:rPr>
      </w:pPr>
      <w:r>
        <w:rPr>
          <w:rFonts w:hint="eastAsia" w:ascii="仿宋" w:hAnsi="仿宋" w:eastAsia="仿宋"/>
          <w:sz w:val="24"/>
        </w:rPr>
        <w:t>本部门邀请合格的投标人就湖北日报传媒集团</w:t>
      </w:r>
      <w:r>
        <w:rPr>
          <w:rFonts w:hint="eastAsia" w:ascii="仿宋" w:hAnsi="仿宋" w:eastAsia="仿宋"/>
          <w:sz w:val="24"/>
          <w:lang w:val="en-US" w:eastAsia="zh-CN"/>
        </w:rPr>
        <w:t>资产评估</w:t>
      </w:r>
      <w:r>
        <w:rPr>
          <w:rFonts w:hint="eastAsia" w:ascii="仿宋" w:hAnsi="仿宋" w:eastAsia="仿宋"/>
          <w:sz w:val="24"/>
        </w:rPr>
        <w:t>服务供应商</w:t>
      </w:r>
      <w:r>
        <w:rPr>
          <w:rFonts w:hint="eastAsia" w:ascii="仿宋" w:hAnsi="仿宋" w:eastAsia="仿宋"/>
          <w:sz w:val="24"/>
          <w:lang w:val="en-US" w:eastAsia="zh-CN"/>
        </w:rPr>
        <w:t>入</w:t>
      </w:r>
      <w:r>
        <w:rPr>
          <w:rFonts w:hint="eastAsia" w:ascii="仿宋" w:hAnsi="仿宋" w:eastAsia="仿宋"/>
          <w:sz w:val="24"/>
        </w:rPr>
        <w:t>库</w:t>
      </w:r>
      <w:r>
        <w:rPr>
          <w:rFonts w:hint="eastAsia" w:ascii="仿宋" w:hAnsi="仿宋" w:eastAsia="仿宋"/>
          <w:sz w:val="24"/>
          <w:lang w:val="hr-HR"/>
        </w:rPr>
        <w:t>项目</w:t>
      </w:r>
      <w:r>
        <w:rPr>
          <w:rFonts w:hint="eastAsia" w:ascii="仿宋" w:hAnsi="仿宋" w:eastAsia="仿宋"/>
          <w:sz w:val="24"/>
        </w:rPr>
        <w:t>提交密封投标。</w:t>
      </w:r>
    </w:p>
    <w:p w14:paraId="33B066B6">
      <w:pPr>
        <w:pStyle w:val="2"/>
        <w:spacing w:line="480" w:lineRule="exact"/>
        <w:ind w:firstLine="480"/>
        <w:rPr>
          <w:rFonts w:hint="eastAsia" w:ascii="仿宋" w:hAnsi="仿宋" w:eastAsia="仿宋"/>
          <w:sz w:val="24"/>
        </w:rPr>
      </w:pPr>
      <w:r>
        <w:rPr>
          <w:rFonts w:hint="eastAsia" w:ascii="仿宋" w:hAnsi="仿宋" w:eastAsia="仿宋"/>
          <w:sz w:val="24"/>
        </w:rPr>
        <w:t>所有投标书应于202</w:t>
      </w:r>
      <w:r>
        <w:rPr>
          <w:rFonts w:hint="eastAsia" w:ascii="仿宋" w:hAnsi="仿宋" w:eastAsia="仿宋"/>
          <w:sz w:val="24"/>
          <w:lang w:val="en-US" w:eastAsia="zh-CN"/>
        </w:rPr>
        <w:t>5</w:t>
      </w:r>
      <w:r>
        <w:rPr>
          <w:rFonts w:hint="eastAsia" w:ascii="仿宋" w:hAnsi="仿宋" w:eastAsia="仿宋"/>
          <w:sz w:val="24"/>
        </w:rPr>
        <w:t>年</w:t>
      </w:r>
      <w:r>
        <w:rPr>
          <w:rFonts w:hint="eastAsia" w:ascii="仿宋" w:hAnsi="仿宋" w:eastAsia="仿宋"/>
          <w:sz w:val="24"/>
          <w:lang w:val="en-US" w:eastAsia="zh-CN"/>
        </w:rPr>
        <w:t>2</w:t>
      </w:r>
      <w:r>
        <w:rPr>
          <w:rFonts w:hint="eastAsia" w:ascii="仿宋" w:hAnsi="仿宋" w:eastAsia="仿宋"/>
          <w:sz w:val="24"/>
        </w:rPr>
        <w:t>月</w:t>
      </w:r>
      <w:r>
        <w:rPr>
          <w:rFonts w:hint="eastAsia" w:ascii="仿宋" w:hAnsi="仿宋" w:eastAsia="仿宋"/>
          <w:sz w:val="24"/>
          <w:lang w:val="en-US" w:eastAsia="zh-CN"/>
        </w:rPr>
        <w:t>25</w:t>
      </w:r>
      <w:r>
        <w:rPr>
          <w:rFonts w:hint="eastAsia" w:ascii="仿宋" w:hAnsi="仿宋" w:eastAsia="仿宋"/>
          <w:sz w:val="24"/>
        </w:rPr>
        <w:t>日</w:t>
      </w:r>
      <w:r>
        <w:rPr>
          <w:rFonts w:hint="eastAsia" w:ascii="仿宋" w:hAnsi="仿宋" w:eastAsia="仿宋"/>
          <w:sz w:val="24"/>
          <w:lang w:val="en-US" w:eastAsia="zh-CN"/>
        </w:rPr>
        <w:t>上</w:t>
      </w:r>
      <w:r>
        <w:rPr>
          <w:rFonts w:hint="eastAsia" w:ascii="仿宋" w:hAnsi="仿宋" w:eastAsia="仿宋"/>
          <w:sz w:val="24"/>
        </w:rPr>
        <w:t>午</w:t>
      </w:r>
      <w:r>
        <w:rPr>
          <w:rFonts w:hint="eastAsia" w:ascii="仿宋" w:hAnsi="仿宋" w:eastAsia="仿宋"/>
          <w:sz w:val="24"/>
          <w:lang w:val="en-US" w:eastAsia="zh-CN"/>
        </w:rPr>
        <w:t>10</w:t>
      </w:r>
      <w:r>
        <w:rPr>
          <w:rFonts w:hint="eastAsia" w:ascii="仿宋" w:hAnsi="仿宋" w:eastAsia="仿宋"/>
          <w:sz w:val="24"/>
        </w:rPr>
        <w:t>：00前递交到本部门，逾期将不予接受。</w:t>
      </w:r>
    </w:p>
    <w:p w14:paraId="4C8D8CD8">
      <w:pPr>
        <w:pStyle w:val="2"/>
        <w:spacing w:line="480" w:lineRule="exact"/>
        <w:ind w:firstLine="480"/>
        <w:rPr>
          <w:rFonts w:hint="eastAsia" w:ascii="仿宋" w:hAnsi="仿宋" w:eastAsia="仿宋"/>
          <w:sz w:val="24"/>
          <w:szCs w:val="28"/>
        </w:rPr>
      </w:pPr>
      <w:r>
        <w:rPr>
          <w:rFonts w:hint="eastAsia" w:ascii="仿宋" w:hAnsi="仿宋" w:eastAsia="仿宋"/>
          <w:sz w:val="24"/>
        </w:rPr>
        <w:t>对于招标文件的疑问请于202</w:t>
      </w:r>
      <w:r>
        <w:rPr>
          <w:rFonts w:hint="eastAsia" w:ascii="仿宋" w:hAnsi="仿宋" w:eastAsia="仿宋"/>
          <w:sz w:val="24"/>
          <w:lang w:val="en-US" w:eastAsia="zh-CN"/>
        </w:rPr>
        <w:t>5</w:t>
      </w:r>
      <w:r>
        <w:rPr>
          <w:rFonts w:hint="eastAsia" w:ascii="仿宋" w:hAnsi="仿宋" w:eastAsia="仿宋"/>
          <w:sz w:val="24"/>
        </w:rPr>
        <w:t>年</w:t>
      </w:r>
      <w:r>
        <w:rPr>
          <w:rFonts w:hint="eastAsia" w:ascii="仿宋" w:hAnsi="仿宋" w:eastAsia="仿宋"/>
          <w:sz w:val="24"/>
          <w:lang w:val="en-US" w:eastAsia="zh-CN"/>
        </w:rPr>
        <w:t>2</w:t>
      </w:r>
      <w:r>
        <w:rPr>
          <w:rFonts w:hint="eastAsia" w:ascii="仿宋" w:hAnsi="仿宋" w:eastAsia="仿宋"/>
          <w:sz w:val="24"/>
        </w:rPr>
        <w:t>月</w:t>
      </w:r>
      <w:r>
        <w:rPr>
          <w:rFonts w:hint="eastAsia" w:ascii="仿宋" w:hAnsi="仿宋" w:eastAsia="仿宋"/>
          <w:sz w:val="24"/>
          <w:lang w:val="en-US" w:eastAsia="zh-CN"/>
        </w:rPr>
        <w:t>20</w:t>
      </w:r>
      <w:r>
        <w:rPr>
          <w:rFonts w:hint="eastAsia" w:ascii="仿宋" w:hAnsi="仿宋" w:eastAsia="仿宋"/>
          <w:sz w:val="24"/>
        </w:rPr>
        <w:t>日上午</w:t>
      </w:r>
      <w:r>
        <w:rPr>
          <w:rFonts w:hint="eastAsia" w:ascii="仿宋" w:hAnsi="仿宋" w:eastAsia="仿宋"/>
          <w:sz w:val="24"/>
          <w:szCs w:val="28"/>
        </w:rPr>
        <w:t>10时前</w:t>
      </w:r>
      <w:r>
        <w:rPr>
          <w:rFonts w:hint="eastAsia" w:ascii="仿宋" w:hAnsi="仿宋" w:eastAsia="仿宋"/>
          <w:sz w:val="24"/>
          <w:szCs w:val="28"/>
          <w:lang w:val="en-US" w:eastAsia="zh-CN"/>
        </w:rPr>
        <w:t>发送至43842228@qq.com邮箱</w:t>
      </w:r>
      <w:r>
        <w:rPr>
          <w:rFonts w:hint="eastAsia" w:ascii="仿宋" w:hAnsi="仿宋" w:eastAsia="仿宋"/>
          <w:sz w:val="24"/>
          <w:szCs w:val="28"/>
        </w:rPr>
        <w:t>。</w:t>
      </w:r>
    </w:p>
    <w:p w14:paraId="1BAECA3C">
      <w:pPr>
        <w:pStyle w:val="2"/>
        <w:spacing w:line="480" w:lineRule="exact"/>
        <w:ind w:firstLine="480"/>
        <w:rPr>
          <w:rFonts w:hint="eastAsia" w:ascii="仿宋" w:hAnsi="仿宋" w:eastAsia="仿宋"/>
          <w:sz w:val="24"/>
        </w:rPr>
      </w:pPr>
      <w:r>
        <w:rPr>
          <w:rFonts w:hint="eastAsia" w:ascii="仿宋" w:hAnsi="仿宋" w:eastAsia="仿宋"/>
          <w:sz w:val="24"/>
        </w:rPr>
        <w:t>“开标一览表</w:t>
      </w:r>
      <w:r>
        <w:rPr>
          <w:rFonts w:ascii="仿宋" w:hAnsi="仿宋" w:eastAsia="仿宋"/>
          <w:sz w:val="24"/>
        </w:rPr>
        <w:t>”</w:t>
      </w:r>
      <w:r>
        <w:rPr>
          <w:rFonts w:hint="eastAsia" w:ascii="仿宋" w:hAnsi="仿宋" w:eastAsia="仿宋"/>
          <w:sz w:val="24"/>
        </w:rPr>
        <w:t>请单独封装在一个投票信封内，并注明“开标一览表</w:t>
      </w:r>
      <w:r>
        <w:rPr>
          <w:rFonts w:ascii="仿宋" w:hAnsi="仿宋" w:eastAsia="仿宋"/>
          <w:sz w:val="24"/>
        </w:rPr>
        <w:t>”</w:t>
      </w:r>
      <w:r>
        <w:rPr>
          <w:rFonts w:hint="eastAsia" w:ascii="仿宋" w:hAnsi="仿宋" w:eastAsia="仿宋"/>
          <w:sz w:val="24"/>
        </w:rPr>
        <w:t>字样，放在投标文件正本中，以便唱标时查找。</w:t>
      </w:r>
    </w:p>
    <w:p w14:paraId="72F96BB6">
      <w:pPr>
        <w:pStyle w:val="2"/>
        <w:spacing w:line="480" w:lineRule="exact"/>
        <w:ind w:firstLine="480"/>
        <w:rPr>
          <w:rFonts w:hint="eastAsia" w:ascii="仿宋" w:hAnsi="仿宋" w:eastAsia="仿宋"/>
          <w:sz w:val="24"/>
        </w:rPr>
      </w:pPr>
      <w:r>
        <w:rPr>
          <w:rFonts w:hint="eastAsia" w:ascii="仿宋" w:hAnsi="仿宋" w:eastAsia="仿宋"/>
          <w:sz w:val="24"/>
        </w:rPr>
        <w:t>地址:武汉市武昌区东湖路181号楚天传媒大厦附楼B0130室</w:t>
      </w:r>
    </w:p>
    <w:p w14:paraId="175DD8CE">
      <w:pPr>
        <w:pStyle w:val="2"/>
        <w:spacing w:line="480" w:lineRule="exact"/>
        <w:ind w:firstLine="480"/>
        <w:rPr>
          <w:rFonts w:hint="eastAsia" w:ascii="仿宋" w:hAnsi="仿宋" w:eastAsia="仿宋"/>
          <w:sz w:val="24"/>
        </w:rPr>
      </w:pPr>
      <w:r>
        <w:rPr>
          <w:rFonts w:hint="eastAsia" w:ascii="仿宋" w:hAnsi="仿宋" w:eastAsia="仿宋"/>
          <w:sz w:val="24"/>
        </w:rPr>
        <w:t>电话：027-88568113</w:t>
      </w:r>
    </w:p>
    <w:p w14:paraId="2B9FF642">
      <w:pPr>
        <w:pStyle w:val="2"/>
        <w:spacing w:line="480" w:lineRule="exact"/>
        <w:ind w:firstLine="480"/>
        <w:rPr>
          <w:rFonts w:hint="eastAsia" w:ascii="仿宋" w:hAnsi="仿宋" w:eastAsia="仿宋"/>
          <w:sz w:val="24"/>
        </w:rPr>
      </w:pPr>
      <w:r>
        <w:rPr>
          <w:rFonts w:hint="eastAsia" w:ascii="仿宋" w:hAnsi="仿宋" w:eastAsia="仿宋"/>
          <w:sz w:val="24"/>
        </w:rPr>
        <w:t>传真：027-88568111</w:t>
      </w:r>
    </w:p>
    <w:p w14:paraId="78077DE3">
      <w:pPr>
        <w:pStyle w:val="2"/>
        <w:spacing w:line="480" w:lineRule="exact"/>
        <w:ind w:firstLine="480"/>
        <w:rPr>
          <w:rFonts w:ascii="仿宋" w:hAnsi="仿宋" w:eastAsia="仿宋"/>
          <w:sz w:val="24"/>
        </w:rPr>
      </w:pPr>
      <w:r>
        <w:rPr>
          <w:rFonts w:hint="eastAsia" w:ascii="仿宋" w:hAnsi="仿宋" w:eastAsia="仿宋"/>
          <w:sz w:val="24"/>
        </w:rPr>
        <w:t>联系人:胡先生、刘女士</w:t>
      </w:r>
    </w:p>
    <w:p w14:paraId="6B139D63">
      <w:pPr>
        <w:pStyle w:val="2"/>
        <w:spacing w:line="480" w:lineRule="exact"/>
        <w:ind w:firstLine="480"/>
        <w:rPr>
          <w:rFonts w:hint="eastAsia" w:ascii="仿宋" w:hAnsi="仿宋" w:eastAsia="仿宋"/>
          <w:sz w:val="24"/>
        </w:rPr>
      </w:pPr>
      <w:r>
        <w:rPr>
          <w:rFonts w:hint="eastAsia" w:ascii="仿宋" w:hAnsi="仿宋" w:eastAsia="仿宋"/>
          <w:sz w:val="24"/>
        </w:rPr>
        <w:t>邮政编码:430077</w:t>
      </w:r>
    </w:p>
    <w:p w14:paraId="12305050">
      <w:pPr>
        <w:pStyle w:val="2"/>
        <w:spacing w:line="480" w:lineRule="exact"/>
        <w:ind w:firstLine="4800" w:firstLineChars="2000"/>
        <w:rPr>
          <w:rFonts w:hint="eastAsia" w:ascii="仿宋" w:hAnsi="仿宋" w:eastAsia="仿宋"/>
          <w:sz w:val="24"/>
        </w:rPr>
      </w:pPr>
    </w:p>
    <w:p w14:paraId="443DC131">
      <w:pPr>
        <w:pStyle w:val="2"/>
        <w:spacing w:line="480" w:lineRule="exact"/>
        <w:ind w:firstLine="4800" w:firstLineChars="2000"/>
        <w:rPr>
          <w:rFonts w:hint="eastAsia" w:ascii="仿宋" w:hAnsi="仿宋" w:eastAsia="仿宋"/>
          <w:sz w:val="24"/>
        </w:rPr>
      </w:pPr>
    </w:p>
    <w:p w14:paraId="7554548F">
      <w:pPr>
        <w:pStyle w:val="2"/>
        <w:spacing w:line="480" w:lineRule="exact"/>
        <w:ind w:firstLine="4800" w:firstLineChars="2000"/>
        <w:rPr>
          <w:rFonts w:hint="eastAsia" w:ascii="仿宋" w:hAnsi="仿宋" w:eastAsia="仿宋"/>
          <w:sz w:val="24"/>
        </w:rPr>
      </w:pPr>
    </w:p>
    <w:p w14:paraId="377033AA">
      <w:pPr>
        <w:pStyle w:val="2"/>
        <w:spacing w:line="480" w:lineRule="exact"/>
        <w:ind w:firstLine="4800" w:firstLineChars="2000"/>
        <w:rPr>
          <w:rFonts w:hint="eastAsia" w:ascii="仿宋" w:hAnsi="仿宋" w:eastAsia="仿宋"/>
          <w:sz w:val="24"/>
        </w:rPr>
      </w:pPr>
      <w:r>
        <w:rPr>
          <w:rFonts w:hint="eastAsia" w:ascii="仿宋" w:hAnsi="仿宋" w:eastAsia="仿宋"/>
          <w:sz w:val="24"/>
        </w:rPr>
        <w:t>湖北日报传媒集团招标采购部</w:t>
      </w:r>
    </w:p>
    <w:p w14:paraId="4CB32405">
      <w:pPr>
        <w:pStyle w:val="2"/>
        <w:spacing w:line="480" w:lineRule="exact"/>
        <w:ind w:firstLine="5520" w:firstLineChars="2300"/>
        <w:rPr>
          <w:rFonts w:hint="eastAsia" w:ascii="仿宋" w:hAnsi="仿宋" w:eastAsia="仿宋"/>
          <w:sz w:val="24"/>
        </w:rPr>
      </w:pPr>
      <w:r>
        <w:rPr>
          <w:rFonts w:hint="eastAsia" w:ascii="仿宋" w:hAnsi="仿宋" w:eastAsia="仿宋"/>
          <w:sz w:val="24"/>
        </w:rPr>
        <w:t>202</w:t>
      </w:r>
      <w:r>
        <w:rPr>
          <w:rFonts w:hint="eastAsia" w:ascii="仿宋" w:hAnsi="仿宋" w:eastAsia="仿宋"/>
          <w:sz w:val="24"/>
          <w:lang w:val="en-US" w:eastAsia="zh-CN"/>
        </w:rPr>
        <w:t>5</w:t>
      </w:r>
      <w:r>
        <w:rPr>
          <w:rFonts w:hint="eastAsia" w:ascii="仿宋" w:hAnsi="仿宋" w:eastAsia="仿宋"/>
          <w:sz w:val="24"/>
        </w:rPr>
        <w:t>年</w:t>
      </w:r>
      <w:r>
        <w:rPr>
          <w:rFonts w:hint="eastAsia" w:ascii="仿宋" w:hAnsi="仿宋" w:eastAsia="仿宋"/>
          <w:sz w:val="24"/>
          <w:lang w:val="en-US" w:eastAsia="zh-CN"/>
        </w:rPr>
        <w:t>2</w:t>
      </w:r>
      <w:r>
        <w:rPr>
          <w:rFonts w:hint="eastAsia" w:ascii="仿宋" w:hAnsi="仿宋" w:eastAsia="仿宋"/>
          <w:sz w:val="24"/>
        </w:rPr>
        <w:t>月</w:t>
      </w:r>
      <w:r>
        <w:rPr>
          <w:rFonts w:hint="eastAsia" w:ascii="仿宋" w:hAnsi="仿宋" w:eastAsia="仿宋"/>
          <w:sz w:val="24"/>
          <w:lang w:val="en-US" w:eastAsia="zh-CN"/>
        </w:rPr>
        <w:t>11</w:t>
      </w:r>
      <w:bookmarkStart w:id="0" w:name="_GoBack"/>
      <w:bookmarkEnd w:id="0"/>
      <w:r>
        <w:rPr>
          <w:rFonts w:hint="eastAsia" w:ascii="仿宋" w:hAnsi="仿宋" w:eastAsia="仿宋"/>
          <w:sz w:val="24"/>
        </w:rPr>
        <w:t>日</w:t>
      </w:r>
    </w:p>
    <w:p w14:paraId="6F67BD91">
      <w:pPr>
        <w:spacing w:line="480" w:lineRule="exact"/>
        <w:rPr>
          <w:rFonts w:ascii="仿宋_GB2312" w:eastAsia="仿宋_GB2312"/>
          <w:b/>
          <w:sz w:val="28"/>
          <w:szCs w:val="28"/>
        </w:rPr>
      </w:pPr>
    </w:p>
    <w:p w14:paraId="4BE5C977">
      <w:pPr>
        <w:spacing w:line="480" w:lineRule="exact"/>
        <w:rPr>
          <w:rFonts w:ascii="仿宋_GB2312" w:eastAsia="仿宋_GB2312"/>
          <w:b/>
          <w:sz w:val="28"/>
          <w:szCs w:val="28"/>
        </w:rPr>
      </w:pPr>
    </w:p>
    <w:p w14:paraId="76146227">
      <w:pPr>
        <w:spacing w:line="480" w:lineRule="exact"/>
        <w:rPr>
          <w:rFonts w:ascii="仿宋_GB2312" w:eastAsia="仿宋_GB2312"/>
          <w:sz w:val="28"/>
          <w:szCs w:val="28"/>
        </w:rPr>
      </w:pPr>
      <w:r>
        <w:rPr>
          <w:rFonts w:ascii="仿宋_GB2312" w:eastAsia="仿宋_GB2312"/>
          <w:b/>
          <w:sz w:val="28"/>
          <w:szCs w:val="28"/>
        </w:rPr>
        <w:t>[附]</w:t>
      </w:r>
      <w:r>
        <w:rPr>
          <w:rFonts w:ascii="仿宋_GB2312" w:eastAsia="仿宋_GB2312"/>
          <w:sz w:val="28"/>
          <w:szCs w:val="28"/>
        </w:rPr>
        <w:t xml:space="preserve">：    </w:t>
      </w:r>
    </w:p>
    <w:p w14:paraId="6642EA2B">
      <w:pPr>
        <w:spacing w:line="480" w:lineRule="exact"/>
        <w:rPr>
          <w:rFonts w:ascii="仿宋_GB2312" w:eastAsia="仿宋_GB2312"/>
          <w:sz w:val="28"/>
          <w:szCs w:val="28"/>
        </w:rPr>
      </w:pPr>
      <w:r>
        <w:rPr>
          <w:rFonts w:ascii="仿宋_GB2312" w:eastAsia="仿宋_GB2312"/>
          <w:sz w:val="28"/>
          <w:szCs w:val="28"/>
        </w:rPr>
        <w:t xml:space="preserve">    一、</w:t>
      </w:r>
      <w:r>
        <w:rPr>
          <w:rFonts w:hint="eastAsia" w:ascii="仿宋_GB2312" w:eastAsia="仿宋_GB2312"/>
          <w:sz w:val="28"/>
          <w:szCs w:val="28"/>
          <w:lang w:eastAsia="zh-CN"/>
        </w:rPr>
        <w:t>资产评估</w:t>
      </w:r>
      <w:r>
        <w:rPr>
          <w:rFonts w:ascii="仿宋_GB2312" w:eastAsia="仿宋_GB2312"/>
          <w:sz w:val="28"/>
          <w:szCs w:val="28"/>
        </w:rPr>
        <w:t>咨询服务工作任务及要求。</w:t>
      </w:r>
    </w:p>
    <w:p w14:paraId="0166C03A">
      <w:pPr>
        <w:numPr>
          <w:ilvl w:val="0"/>
          <w:numId w:val="1"/>
        </w:numPr>
        <w:spacing w:line="480" w:lineRule="exact"/>
        <w:ind w:firstLine="576"/>
        <w:rPr>
          <w:rFonts w:ascii="仿宋_GB2312" w:eastAsia="仿宋_GB2312"/>
          <w:sz w:val="28"/>
          <w:szCs w:val="28"/>
        </w:rPr>
      </w:pPr>
      <w:r>
        <w:rPr>
          <w:rFonts w:ascii="仿宋_GB2312" w:eastAsia="仿宋_GB2312"/>
          <w:sz w:val="28"/>
          <w:szCs w:val="28"/>
        </w:rPr>
        <w:t>报价及服务意见书制作要求。</w:t>
      </w:r>
    </w:p>
    <w:p w14:paraId="1C5DC29C">
      <w:pPr>
        <w:numPr>
          <w:ilvl w:val="0"/>
          <w:numId w:val="1"/>
        </w:numPr>
        <w:spacing w:line="480" w:lineRule="exact"/>
        <w:ind w:firstLine="576"/>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选聘集团资产评估机构项目开标一览表。</w:t>
      </w:r>
    </w:p>
    <w:p w14:paraId="66438CE2">
      <w:pPr>
        <w:jc w:val="left"/>
        <w:rPr>
          <w:rFonts w:ascii="仿宋_GB2312" w:hAnsi="仿宋_GB2312" w:eastAsia="仿宋_GB2312" w:cs="仿宋_GB2312"/>
          <w:sz w:val="32"/>
          <w:szCs w:val="32"/>
        </w:rPr>
      </w:pPr>
    </w:p>
    <w:p w14:paraId="39162AB6">
      <w:pPr>
        <w:jc w:val="left"/>
        <w:rPr>
          <w:rFonts w:ascii="仿宋_GB2312" w:hAnsi="仿宋_GB2312" w:eastAsia="仿宋_GB2312" w:cs="仿宋_GB2312"/>
          <w:sz w:val="32"/>
          <w:szCs w:val="32"/>
        </w:rPr>
      </w:pPr>
    </w:p>
    <w:p w14:paraId="06DC474E">
      <w:pPr>
        <w:jc w:val="left"/>
        <w:rPr>
          <w:rFonts w:ascii="仿宋_GB2312" w:hAnsi="仿宋_GB2312" w:eastAsia="仿宋_GB2312" w:cs="仿宋_GB2312"/>
          <w:sz w:val="32"/>
          <w:szCs w:val="32"/>
        </w:rPr>
      </w:pPr>
      <w:r>
        <w:rPr>
          <w:rFonts w:ascii="仿宋_GB2312" w:hAnsi="仿宋_GB2312" w:eastAsia="仿宋_GB2312" w:cs="仿宋_GB2312"/>
          <w:sz w:val="32"/>
          <w:szCs w:val="32"/>
        </w:rPr>
        <w:t>附件一</w:t>
      </w:r>
    </w:p>
    <w:p w14:paraId="11A4FD40">
      <w:pPr>
        <w:jc w:val="center"/>
        <w:rPr>
          <w:rFonts w:ascii="仿宋_GB2312" w:hAnsi="仿宋_GB2312" w:eastAsia="仿宋_GB2312" w:cs="仿宋_GB2312"/>
          <w:sz w:val="32"/>
          <w:szCs w:val="32"/>
        </w:rPr>
      </w:pPr>
      <w:r>
        <w:rPr>
          <w:rFonts w:hint="eastAsia" w:ascii="华文中宋" w:hAnsi="华文中宋" w:eastAsia="华文中宋" w:cs="华文中宋"/>
          <w:b/>
          <w:bCs/>
          <w:sz w:val="36"/>
          <w:szCs w:val="36"/>
          <w:lang w:eastAsia="zh-CN"/>
        </w:rPr>
        <w:t>资产评估</w:t>
      </w:r>
      <w:r>
        <w:rPr>
          <w:rFonts w:ascii="华文中宋" w:hAnsi="华文中宋" w:eastAsia="华文中宋" w:cs="华文中宋"/>
          <w:b/>
          <w:bCs/>
          <w:sz w:val="36"/>
          <w:szCs w:val="36"/>
        </w:rPr>
        <w:t>咨询服务工作任务及要求</w:t>
      </w:r>
    </w:p>
    <w:p w14:paraId="4D1BE79A">
      <w:pPr>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一、任务</w:t>
      </w:r>
    </w:p>
    <w:p w14:paraId="3F9E616E">
      <w:pPr>
        <w:ind w:firstLine="560" w:firstLineChars="200"/>
        <w:jc w:val="left"/>
        <w:rPr>
          <w:rFonts w:ascii="仿宋_GB2312" w:hAnsi="仿宋_GB2312" w:eastAsia="仿宋_GB2312" w:cs="仿宋_GB2312"/>
          <w:sz w:val="28"/>
          <w:szCs w:val="28"/>
          <w:u w:val="none"/>
        </w:rPr>
      </w:pPr>
      <w:r>
        <w:rPr>
          <w:rFonts w:ascii="仿宋_GB2312" w:hAnsi="仿宋_GB2312" w:eastAsia="仿宋_GB2312" w:cs="仿宋_GB2312"/>
          <w:sz w:val="28"/>
          <w:szCs w:val="28"/>
          <w:u w:val="none"/>
        </w:rPr>
        <w:t>为本集团</w:t>
      </w:r>
      <w:r>
        <w:rPr>
          <w:rFonts w:hint="eastAsia" w:ascii="仿宋_GB2312" w:hAnsi="仿宋_GB2312" w:eastAsia="仿宋_GB2312" w:cs="仿宋_GB2312"/>
          <w:sz w:val="28"/>
          <w:szCs w:val="28"/>
          <w:u w:val="none"/>
          <w:lang w:val="en-US" w:eastAsia="zh-CN"/>
        </w:rPr>
        <w:t>2025-2027</w:t>
      </w:r>
      <w:r>
        <w:rPr>
          <w:rFonts w:ascii="仿宋_GB2312" w:hAnsi="仿宋_GB2312" w:eastAsia="仿宋_GB2312" w:cs="仿宋_GB2312"/>
          <w:sz w:val="28"/>
          <w:szCs w:val="28"/>
          <w:u w:val="none"/>
        </w:rPr>
        <w:t>年度</w:t>
      </w:r>
      <w:r>
        <w:rPr>
          <w:rFonts w:hint="eastAsia" w:ascii="仿宋_GB2312" w:hAnsi="仿宋_GB2312" w:eastAsia="仿宋_GB2312" w:cs="仿宋_GB2312"/>
          <w:sz w:val="28"/>
          <w:szCs w:val="28"/>
          <w:u w:val="none"/>
          <w:lang w:val="en-US" w:eastAsia="zh-CN"/>
        </w:rPr>
        <w:t>所有资产类</w:t>
      </w:r>
      <w:r>
        <w:rPr>
          <w:rFonts w:ascii="仿宋_GB2312" w:hAnsi="仿宋_GB2312" w:eastAsia="仿宋_GB2312" w:cs="仿宋_GB2312"/>
          <w:sz w:val="28"/>
          <w:szCs w:val="28"/>
          <w:u w:val="none"/>
        </w:rPr>
        <w:t>项目进行</w:t>
      </w:r>
      <w:r>
        <w:rPr>
          <w:rFonts w:hint="eastAsia" w:ascii="仿宋_GB2312" w:hAnsi="仿宋_GB2312" w:eastAsia="仿宋_GB2312" w:cs="仿宋_GB2312"/>
          <w:sz w:val="28"/>
          <w:szCs w:val="28"/>
          <w:u w:val="none"/>
          <w:lang w:val="en-US" w:eastAsia="zh-CN"/>
        </w:rPr>
        <w:t>评估</w:t>
      </w:r>
      <w:r>
        <w:rPr>
          <w:rFonts w:ascii="仿宋_GB2312" w:hAnsi="仿宋_GB2312" w:eastAsia="仿宋_GB2312" w:cs="仿宋_GB2312"/>
          <w:sz w:val="28"/>
          <w:szCs w:val="28"/>
          <w:u w:val="none"/>
        </w:rPr>
        <w:t>服务。</w:t>
      </w:r>
    </w:p>
    <w:p w14:paraId="02B10206">
      <w:pPr>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二、</w:t>
      </w:r>
      <w:r>
        <w:rPr>
          <w:rFonts w:hint="eastAsia" w:ascii="仿宋_GB2312" w:hAnsi="仿宋_GB2312" w:eastAsia="仿宋_GB2312" w:cs="仿宋_GB2312"/>
          <w:sz w:val="28"/>
          <w:szCs w:val="28"/>
          <w:lang w:eastAsia="zh-CN"/>
        </w:rPr>
        <w:t>完成任务时间</w:t>
      </w:r>
      <w:r>
        <w:rPr>
          <w:rFonts w:hint="eastAsia" w:ascii="仿宋_GB2312" w:hAnsi="仿宋_GB2312" w:eastAsia="仿宋_GB2312" w:cs="仿宋_GB2312"/>
          <w:sz w:val="28"/>
          <w:szCs w:val="28"/>
          <w:lang w:val="en-US" w:eastAsia="zh-CN"/>
        </w:rPr>
        <w:t>和承诺</w:t>
      </w:r>
      <w:r>
        <w:rPr>
          <w:rFonts w:ascii="仿宋_GB2312" w:hAnsi="仿宋_GB2312" w:eastAsia="仿宋_GB2312" w:cs="仿宋_GB2312"/>
          <w:sz w:val="28"/>
          <w:szCs w:val="28"/>
        </w:rPr>
        <w:br w:type="textWrapping" w:clear="all"/>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投标人需在委托人规定的时间内完成工作任务</w:t>
      </w:r>
      <w:r>
        <w:rPr>
          <w:rFonts w:hint="eastAsia" w:ascii="仿宋_GB2312" w:hAnsi="仿宋_GB2312" w:eastAsia="仿宋_GB2312" w:cs="仿宋_GB2312"/>
          <w:sz w:val="28"/>
          <w:szCs w:val="28"/>
          <w:lang w:val="en-US" w:eastAsia="zh-CN"/>
        </w:rPr>
        <w:t>;承诺正式评估报告前，先出具预评估报告；承诺允许集团下属多单位出具一份报告（合并）。</w:t>
      </w:r>
      <w:r>
        <w:rPr>
          <w:rFonts w:ascii="仿宋_GB2312" w:hAnsi="仿宋_GB2312" w:eastAsia="仿宋_GB2312" w:cs="仿宋_GB2312"/>
          <w:sz w:val="28"/>
          <w:szCs w:val="28"/>
        </w:rPr>
        <w:br w:type="textWrapping" w:clear="all"/>
      </w:r>
      <w:r>
        <w:rPr>
          <w:rFonts w:ascii="仿宋_GB2312" w:hAnsi="仿宋_GB2312" w:eastAsia="仿宋_GB2312" w:cs="仿宋_GB2312"/>
          <w:sz w:val="28"/>
          <w:szCs w:val="28"/>
        </w:rPr>
        <w:t xml:space="preserve">    三、服务团队要求</w:t>
      </w:r>
    </w:p>
    <w:p w14:paraId="146E181F">
      <w:pPr>
        <w:ind w:left="559" w:leftChars="266"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1、投入人员资格要求：持注册资产评估师资格人数不少于2人；</w:t>
      </w:r>
    </w:p>
    <w:p w14:paraId="57D87E65">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2、投入规模：服务团队成员应不少于3人且固定一、二个有经验的资产评估师；</w:t>
      </w:r>
      <w:r>
        <w:rPr>
          <w:rFonts w:hint="eastAsia" w:ascii="仿宋_GB2312" w:hAnsi="仿宋_GB2312" w:eastAsia="仿宋_GB2312" w:cs="仿宋_GB2312"/>
          <w:sz w:val="28"/>
          <w:szCs w:val="28"/>
          <w:lang w:val="en-US" w:eastAsia="zh-CN"/>
        </w:rPr>
        <w:br w:type="textWrapping" w:clear="all"/>
      </w:r>
      <w:r>
        <w:rPr>
          <w:rFonts w:hint="eastAsia" w:ascii="仿宋_GB2312" w:hAnsi="仿宋_GB2312" w:eastAsia="仿宋_GB2312" w:cs="仿宋_GB2312"/>
          <w:sz w:val="28"/>
          <w:szCs w:val="28"/>
          <w:lang w:val="en-US" w:eastAsia="zh-CN"/>
        </w:rPr>
        <w:t xml:space="preserve">    3、服务方式：负责联络的团队负责人应相对固定，如有调整应及时通知集团资产办；能够现场办公，且具备较强协调沟通能力；</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4、公司总部设立在湖北省内；</w:t>
      </w:r>
      <w:r>
        <w:rPr>
          <w:rFonts w:hint="eastAsia" w:ascii="仿宋_GB2312" w:hAnsi="仿宋_GB2312" w:eastAsia="仿宋_GB2312" w:cs="仿宋_GB2312"/>
          <w:sz w:val="28"/>
          <w:szCs w:val="28"/>
          <w:lang w:val="en-US" w:eastAsia="zh-CN"/>
        </w:rPr>
        <w:br w:type="textWrapping" w:clear="all"/>
      </w:r>
      <w:r>
        <w:rPr>
          <w:rFonts w:hint="eastAsia" w:ascii="仿宋_GB2312" w:hAnsi="仿宋_GB2312" w:eastAsia="仿宋_GB2312" w:cs="仿宋_GB2312"/>
          <w:sz w:val="28"/>
          <w:szCs w:val="28"/>
          <w:lang w:val="en-US" w:eastAsia="zh-CN"/>
        </w:rPr>
        <w:t xml:space="preserve">    5、熟悉传媒产业（印刷设备、互联网设备、无形资产等）资产评估情况；</w:t>
      </w:r>
      <w:r>
        <w:rPr>
          <w:rFonts w:hint="eastAsia" w:ascii="仿宋_GB2312" w:hAnsi="仿宋_GB2312" w:eastAsia="仿宋_GB2312" w:cs="仿宋_GB2312"/>
          <w:sz w:val="28"/>
          <w:szCs w:val="28"/>
          <w:lang w:val="en-US" w:eastAsia="zh-CN"/>
        </w:rPr>
        <w:br w:type="textWrapping" w:clear="all"/>
      </w:r>
      <w:r>
        <w:rPr>
          <w:rFonts w:hint="eastAsia" w:ascii="仿宋_GB2312" w:hAnsi="仿宋_GB2312" w:eastAsia="仿宋_GB2312" w:cs="仿宋_GB2312"/>
          <w:sz w:val="28"/>
          <w:szCs w:val="28"/>
          <w:lang w:val="en-US" w:eastAsia="zh-CN"/>
        </w:rPr>
        <w:t xml:space="preserve">    6、确保应标频率不低于98%。</w:t>
      </w:r>
    </w:p>
    <w:p w14:paraId="046C6293">
      <w:pPr>
        <w:ind w:firstLine="560" w:firstLineChars="200"/>
        <w:jc w:val="left"/>
        <w:rPr>
          <w:rFonts w:hint="eastAsia" w:ascii="仿宋_GB2312" w:hAnsi="仿宋_GB2312" w:eastAsia="仿宋_GB2312" w:cs="仿宋_GB2312"/>
          <w:sz w:val="28"/>
          <w:szCs w:val="28"/>
          <w:lang w:eastAsia="zh-CN"/>
        </w:rPr>
      </w:pPr>
    </w:p>
    <w:p w14:paraId="6A3DC7FC">
      <w:pPr>
        <w:jc w:val="left"/>
        <w:rPr>
          <w:rFonts w:ascii="仿宋_GB2312" w:hAnsi="仿宋_GB2312" w:eastAsia="仿宋_GB2312" w:cs="仿宋_GB2312"/>
          <w:sz w:val="32"/>
          <w:szCs w:val="32"/>
        </w:rPr>
      </w:pPr>
    </w:p>
    <w:p w14:paraId="1EF234B9">
      <w:pPr>
        <w:jc w:val="left"/>
        <w:rPr>
          <w:rFonts w:ascii="仿宋_GB2312" w:hAnsi="仿宋_GB2312" w:eastAsia="仿宋_GB2312" w:cs="仿宋_GB2312"/>
          <w:sz w:val="32"/>
          <w:szCs w:val="32"/>
        </w:rPr>
      </w:pPr>
    </w:p>
    <w:p w14:paraId="01B7B422">
      <w:pPr>
        <w:jc w:val="left"/>
        <w:rPr>
          <w:rFonts w:ascii="仿宋_GB2312" w:hAnsi="仿宋_GB2312" w:eastAsia="仿宋_GB2312" w:cs="仿宋_GB2312"/>
          <w:sz w:val="32"/>
          <w:szCs w:val="32"/>
        </w:rPr>
      </w:pPr>
    </w:p>
    <w:p w14:paraId="4A6E814A">
      <w:pPr>
        <w:jc w:val="left"/>
        <w:rPr>
          <w:rFonts w:ascii="仿宋_GB2312" w:hAnsi="仿宋_GB2312" w:eastAsia="仿宋_GB2312" w:cs="仿宋_GB2312"/>
          <w:sz w:val="32"/>
          <w:szCs w:val="32"/>
        </w:rPr>
      </w:pPr>
    </w:p>
    <w:p w14:paraId="13E9EB45">
      <w:pPr>
        <w:jc w:val="left"/>
        <w:rPr>
          <w:rFonts w:ascii="仿宋_GB2312" w:hAnsi="仿宋_GB2312" w:eastAsia="仿宋_GB2312" w:cs="仿宋_GB2312"/>
          <w:sz w:val="32"/>
          <w:szCs w:val="32"/>
        </w:rPr>
      </w:pPr>
    </w:p>
    <w:p w14:paraId="215F03CA">
      <w:pPr>
        <w:jc w:val="left"/>
        <w:rPr>
          <w:rFonts w:ascii="仿宋_GB2312" w:hAnsi="仿宋_GB2312" w:eastAsia="仿宋_GB2312" w:cs="仿宋_GB2312"/>
          <w:sz w:val="32"/>
          <w:szCs w:val="32"/>
        </w:rPr>
      </w:pPr>
    </w:p>
    <w:p w14:paraId="57725BB6">
      <w:pPr>
        <w:jc w:val="left"/>
        <w:rPr>
          <w:rFonts w:ascii="仿宋_GB2312" w:hAnsi="仿宋_GB2312" w:eastAsia="仿宋_GB2312" w:cs="仿宋_GB2312"/>
          <w:sz w:val="32"/>
          <w:szCs w:val="32"/>
        </w:rPr>
      </w:pPr>
      <w:r>
        <w:rPr>
          <w:rFonts w:ascii="仿宋_GB2312" w:hAnsi="仿宋_GB2312" w:eastAsia="仿宋_GB2312" w:cs="仿宋_GB2312"/>
          <w:sz w:val="32"/>
          <w:szCs w:val="32"/>
        </w:rPr>
        <w:t>附件二</w:t>
      </w:r>
    </w:p>
    <w:p w14:paraId="55758F17">
      <w:pPr>
        <w:jc w:val="center"/>
        <w:rPr>
          <w:rFonts w:ascii="华文中宋" w:hAnsi="华文中宋" w:eastAsia="华文中宋" w:cs="华文中宋"/>
          <w:b/>
          <w:bCs/>
          <w:sz w:val="36"/>
          <w:szCs w:val="36"/>
        </w:rPr>
      </w:pPr>
      <w:r>
        <w:rPr>
          <w:rFonts w:ascii="华文中宋" w:hAnsi="华文中宋" w:eastAsia="华文中宋" w:cs="华文中宋"/>
          <w:b/>
          <w:bCs/>
          <w:sz w:val="36"/>
          <w:szCs w:val="36"/>
        </w:rPr>
        <w:t>报价及服务意见书制作要求</w:t>
      </w:r>
    </w:p>
    <w:p w14:paraId="27C720E4">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报价及服务意见书制作时应包含但不限于以下内容：</w:t>
      </w:r>
    </w:p>
    <w:p w14:paraId="518927BB">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一、本项目服务团队成员介绍(包括成员执业资格证明）；</w:t>
      </w:r>
    </w:p>
    <w:p w14:paraId="39BC221D">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二、公司和团队承担相关业绩</w:t>
      </w:r>
      <w:r>
        <w:rPr>
          <w:rFonts w:hint="eastAsia" w:ascii="仿宋_GB2312" w:hAnsi="仿宋_GB2312" w:eastAsia="仿宋_GB2312" w:cs="仿宋_GB2312"/>
          <w:sz w:val="28"/>
          <w:szCs w:val="28"/>
          <w:lang w:eastAsia="zh-CN"/>
        </w:rPr>
        <w:t>、优势</w:t>
      </w:r>
      <w:r>
        <w:rPr>
          <w:rFonts w:ascii="仿宋_GB2312" w:hAnsi="仿宋_GB2312" w:eastAsia="仿宋_GB2312" w:cs="仿宋_GB2312"/>
          <w:sz w:val="28"/>
          <w:szCs w:val="28"/>
        </w:rPr>
        <w:t>介绍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提供历史案例证明</w:t>
      </w:r>
      <w:r>
        <w:rPr>
          <w:rFonts w:ascii="仿宋_GB2312" w:hAnsi="仿宋_GB2312" w:eastAsia="仿宋_GB2312" w:cs="仿宋_GB2312"/>
          <w:sz w:val="28"/>
          <w:szCs w:val="28"/>
        </w:rPr>
        <w:t>；</w:t>
      </w:r>
    </w:p>
    <w:p w14:paraId="1DB8B9B1">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三、承担项目</w:t>
      </w:r>
      <w:r>
        <w:rPr>
          <w:rFonts w:hint="eastAsia" w:ascii="仿宋_GB2312" w:hAnsi="仿宋_GB2312" w:eastAsia="仿宋_GB2312" w:cs="仿宋_GB2312"/>
          <w:sz w:val="28"/>
          <w:szCs w:val="28"/>
          <w:lang w:eastAsia="zh-CN"/>
        </w:rPr>
        <w:t>评估工作</w:t>
      </w:r>
      <w:r>
        <w:rPr>
          <w:rFonts w:ascii="仿宋_GB2312" w:hAnsi="仿宋_GB2312" w:eastAsia="仿宋_GB2312" w:cs="仿宋_GB2312"/>
          <w:sz w:val="28"/>
          <w:szCs w:val="28"/>
        </w:rPr>
        <w:t>的服务承诺；</w:t>
      </w:r>
    </w:p>
    <w:p w14:paraId="7DD1E455">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四、报价及费用收取模式（报价</w:t>
      </w:r>
      <w:r>
        <w:rPr>
          <w:rFonts w:hint="eastAsia" w:ascii="仿宋_GB2312" w:hAnsi="仿宋_GB2312" w:eastAsia="仿宋_GB2312" w:cs="仿宋_GB2312"/>
          <w:sz w:val="28"/>
          <w:szCs w:val="28"/>
          <w:lang w:eastAsia="zh-CN"/>
        </w:rPr>
        <w:t>分为计时收费和项目费率收费两种，且应</w:t>
      </w:r>
      <w:r>
        <w:rPr>
          <w:rFonts w:ascii="仿宋_GB2312" w:hAnsi="仿宋_GB2312" w:eastAsia="仿宋_GB2312" w:cs="仿宋_GB2312"/>
          <w:sz w:val="28"/>
          <w:szCs w:val="28"/>
        </w:rPr>
        <w:t>包含差旅费）；报价应以省物价局、省财政厅2011年3月14日发布的《湖北省资产评估机构法定业务服务收费标准》为基准；</w:t>
      </w:r>
    </w:p>
    <w:p w14:paraId="26E93795">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五、企业资质证明文件（如营业执照</w:t>
      </w:r>
      <w:r>
        <w:rPr>
          <w:rFonts w:hint="eastAsia" w:ascii="仿宋_GB2312" w:hAnsi="仿宋_GB2312" w:eastAsia="仿宋_GB2312" w:cs="仿宋_GB2312"/>
          <w:sz w:val="28"/>
          <w:szCs w:val="28"/>
          <w:lang w:eastAsia="zh-CN"/>
        </w:rPr>
        <w:t>、资质证书</w:t>
      </w:r>
      <w:r>
        <w:rPr>
          <w:rFonts w:ascii="仿宋_GB2312" w:hAnsi="仿宋_GB2312" w:eastAsia="仿宋_GB2312" w:cs="仿宋_GB2312"/>
          <w:sz w:val="28"/>
          <w:szCs w:val="28"/>
        </w:rPr>
        <w:t>等）。</w:t>
      </w:r>
    </w:p>
    <w:p w14:paraId="66365346">
      <w:pPr>
        <w:spacing w:line="460" w:lineRule="exact"/>
        <w:rPr>
          <w:rFonts w:ascii="仿宋_GB2312" w:hAnsi="仿宋_GB2312" w:eastAsia="仿宋_GB2312" w:cs="仿宋_GB2312"/>
          <w:sz w:val="32"/>
          <w:szCs w:val="32"/>
        </w:rPr>
      </w:pPr>
    </w:p>
    <w:p w14:paraId="06999394">
      <w:pPr>
        <w:spacing w:line="460" w:lineRule="exact"/>
        <w:rPr>
          <w:rFonts w:ascii="仿宋_GB2312" w:hAnsi="仿宋_GB2312" w:eastAsia="仿宋_GB2312" w:cs="仿宋_GB2312"/>
          <w:sz w:val="32"/>
          <w:szCs w:val="32"/>
        </w:rPr>
      </w:pPr>
    </w:p>
    <w:p w14:paraId="676CC4CA">
      <w:pPr>
        <w:spacing w:line="460" w:lineRule="exact"/>
        <w:rPr>
          <w:rFonts w:ascii="仿宋_GB2312" w:hAnsi="仿宋_GB2312" w:eastAsia="仿宋_GB2312" w:cs="仿宋_GB2312"/>
          <w:sz w:val="32"/>
          <w:szCs w:val="32"/>
        </w:rPr>
      </w:pPr>
    </w:p>
    <w:p w14:paraId="01B37290">
      <w:pPr>
        <w:spacing w:line="460" w:lineRule="exact"/>
        <w:rPr>
          <w:rFonts w:ascii="仿宋_GB2312" w:hAnsi="仿宋_GB2312" w:eastAsia="仿宋_GB2312" w:cs="仿宋_GB2312"/>
          <w:color w:val="FF0000"/>
          <w:sz w:val="32"/>
          <w:szCs w:val="32"/>
        </w:rPr>
      </w:pPr>
    </w:p>
    <w:p w14:paraId="5D426ECC">
      <w:pPr>
        <w:spacing w:line="460" w:lineRule="exact"/>
        <w:rPr>
          <w:rFonts w:ascii="仿宋_GB2312" w:hAnsi="仿宋_GB2312" w:eastAsia="仿宋_GB2312" w:cs="仿宋_GB2312"/>
          <w:sz w:val="32"/>
          <w:szCs w:val="32"/>
        </w:rPr>
      </w:pPr>
    </w:p>
    <w:p w14:paraId="63AE5646">
      <w:pPr>
        <w:spacing w:line="460" w:lineRule="exact"/>
        <w:rPr>
          <w:rFonts w:ascii="仿宋_GB2312" w:hAnsi="仿宋_GB2312" w:eastAsia="仿宋_GB2312" w:cs="仿宋_GB2312"/>
          <w:sz w:val="32"/>
          <w:szCs w:val="32"/>
        </w:rPr>
      </w:pPr>
    </w:p>
    <w:p w14:paraId="29341E9B">
      <w:pPr>
        <w:spacing w:line="460" w:lineRule="exact"/>
        <w:rPr>
          <w:rFonts w:ascii="仿宋_GB2312" w:hAnsi="仿宋_GB2312" w:eastAsia="仿宋_GB2312" w:cs="仿宋_GB2312"/>
          <w:sz w:val="32"/>
          <w:szCs w:val="32"/>
        </w:rPr>
      </w:pPr>
    </w:p>
    <w:p w14:paraId="003D5F37">
      <w:pPr>
        <w:spacing w:line="460" w:lineRule="exact"/>
        <w:rPr>
          <w:rFonts w:ascii="仿宋_GB2312" w:hAnsi="仿宋_GB2312" w:eastAsia="仿宋_GB2312" w:cs="仿宋_GB2312"/>
          <w:sz w:val="32"/>
          <w:szCs w:val="32"/>
        </w:rPr>
      </w:pPr>
    </w:p>
    <w:p w14:paraId="401C98B5">
      <w:pPr>
        <w:spacing w:line="460" w:lineRule="exact"/>
        <w:rPr>
          <w:rFonts w:ascii="仿宋_GB2312" w:hAnsi="仿宋_GB2312" w:eastAsia="仿宋_GB2312" w:cs="仿宋_GB2312"/>
          <w:sz w:val="32"/>
          <w:szCs w:val="32"/>
        </w:rPr>
      </w:pPr>
    </w:p>
    <w:p w14:paraId="699B13EF">
      <w:pPr>
        <w:spacing w:line="460" w:lineRule="exact"/>
        <w:rPr>
          <w:rFonts w:ascii="仿宋_GB2312" w:hAnsi="仿宋_GB2312" w:eastAsia="仿宋_GB2312" w:cs="仿宋_GB2312"/>
          <w:sz w:val="32"/>
          <w:szCs w:val="32"/>
        </w:rPr>
      </w:pPr>
    </w:p>
    <w:p w14:paraId="1185467D">
      <w:pPr>
        <w:spacing w:line="460" w:lineRule="exact"/>
        <w:rPr>
          <w:rFonts w:ascii="仿宋_GB2312" w:hAnsi="仿宋_GB2312" w:eastAsia="仿宋_GB2312" w:cs="仿宋_GB2312"/>
          <w:sz w:val="32"/>
          <w:szCs w:val="32"/>
        </w:rPr>
      </w:pPr>
    </w:p>
    <w:p w14:paraId="14A9EE7F">
      <w:pPr>
        <w:spacing w:line="460" w:lineRule="exact"/>
        <w:rPr>
          <w:rFonts w:ascii="仿宋_GB2312" w:hAnsi="仿宋_GB2312" w:eastAsia="仿宋_GB2312" w:cs="仿宋_GB2312"/>
          <w:sz w:val="32"/>
          <w:szCs w:val="32"/>
        </w:rPr>
      </w:pPr>
    </w:p>
    <w:p w14:paraId="6B0672C4">
      <w:pPr>
        <w:spacing w:line="460" w:lineRule="exact"/>
        <w:rPr>
          <w:rFonts w:ascii="仿宋_GB2312" w:hAnsi="仿宋_GB2312" w:eastAsia="仿宋_GB2312" w:cs="仿宋_GB2312"/>
          <w:sz w:val="32"/>
          <w:szCs w:val="32"/>
        </w:rPr>
      </w:pPr>
    </w:p>
    <w:p w14:paraId="678179B7">
      <w:pPr>
        <w:spacing w:line="460" w:lineRule="exact"/>
        <w:rPr>
          <w:rFonts w:ascii="仿宋_GB2312" w:hAnsi="仿宋_GB2312" w:eastAsia="仿宋_GB2312" w:cs="仿宋_GB2312"/>
          <w:sz w:val="32"/>
          <w:szCs w:val="32"/>
        </w:rPr>
      </w:pPr>
    </w:p>
    <w:p w14:paraId="411F2020">
      <w:pPr>
        <w:spacing w:line="460" w:lineRule="exact"/>
        <w:rPr>
          <w:rFonts w:ascii="仿宋_GB2312" w:hAnsi="仿宋_GB2312" w:eastAsia="仿宋_GB2312" w:cs="仿宋_GB2312"/>
          <w:sz w:val="32"/>
          <w:szCs w:val="32"/>
        </w:rPr>
      </w:pPr>
    </w:p>
    <w:p w14:paraId="10827263">
      <w:pPr>
        <w:spacing w:line="460" w:lineRule="exact"/>
        <w:rPr>
          <w:rFonts w:ascii="仿宋_GB2312" w:hAnsi="仿宋_GB2312" w:eastAsia="仿宋_GB2312" w:cs="仿宋_GB2312"/>
          <w:sz w:val="32"/>
          <w:szCs w:val="32"/>
        </w:rPr>
      </w:pPr>
    </w:p>
    <w:p w14:paraId="06613C1D">
      <w:pPr>
        <w:spacing w:line="460" w:lineRule="exact"/>
        <w:rPr>
          <w:rFonts w:ascii="仿宋_GB2312" w:hAnsi="仿宋_GB2312" w:eastAsia="仿宋_GB2312" w:cs="仿宋_GB2312"/>
          <w:sz w:val="32"/>
          <w:szCs w:val="32"/>
        </w:rPr>
      </w:pPr>
    </w:p>
    <w:p w14:paraId="7406754A">
      <w:pPr>
        <w:jc w:val="left"/>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三</w:t>
      </w:r>
    </w:p>
    <w:p w14:paraId="57930265">
      <w:pPr>
        <w:spacing w:line="460" w:lineRule="exact"/>
        <w:rPr>
          <w:rFonts w:ascii="仿宋_GB2312" w:hAnsi="仿宋_GB2312" w:eastAsia="仿宋_GB2312" w:cs="仿宋_GB2312"/>
          <w:sz w:val="32"/>
          <w:szCs w:val="32"/>
        </w:rPr>
      </w:pPr>
    </w:p>
    <w:p w14:paraId="253EB263">
      <w:pPr>
        <w:ind w:left="0" w:leftChars="0" w:right="0" w:rightChars="0" w:firstLine="0" w:firstLineChars="0"/>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选聘集团资产评估机构项目开标一览表</w:t>
      </w:r>
    </w:p>
    <w:p w14:paraId="0C4CE7D3">
      <w:pPr>
        <w:rPr>
          <w:rFonts w:hint="eastAsia"/>
          <w:sz w:val="24"/>
          <w:szCs w:val="24"/>
          <w:lang w:val="en-US" w:eastAsia="zh-CN"/>
        </w:rPr>
      </w:pPr>
      <w:r>
        <w:rPr>
          <w:rFonts w:hint="eastAsia"/>
          <w:lang w:val="en-US" w:eastAsia="zh-CN"/>
        </w:rPr>
        <w:t xml:space="preserve">                                                                                                               </w:t>
      </w:r>
    </w:p>
    <w:tbl>
      <w:tblPr>
        <w:tblStyle w:val="6"/>
        <w:tblW w:w="101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3042"/>
        <w:gridCol w:w="870"/>
        <w:gridCol w:w="1050"/>
        <w:gridCol w:w="1665"/>
        <w:gridCol w:w="1455"/>
        <w:gridCol w:w="1332"/>
      </w:tblGrid>
      <w:tr w14:paraId="5C26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exact"/>
        </w:trPr>
        <w:tc>
          <w:tcPr>
            <w:tcW w:w="708" w:type="dxa"/>
            <w:vAlign w:val="center"/>
          </w:tcPr>
          <w:p w14:paraId="65A8C275">
            <w:pPr>
              <w:ind w:left="0" w:leftChars="0" w:right="0" w:rightChars="0" w:firstLine="0" w:firstLineChars="0"/>
              <w:jc w:val="center"/>
              <w:rPr>
                <w:rFonts w:hint="eastAsia"/>
                <w:b/>
                <w:bCs/>
                <w:w w:val="80"/>
                <w:sz w:val="28"/>
                <w:szCs w:val="28"/>
                <w:vertAlign w:val="baseline"/>
                <w:lang w:val="en-US" w:eastAsia="zh-CN"/>
              </w:rPr>
            </w:pPr>
            <w:r>
              <w:rPr>
                <w:rFonts w:hint="eastAsia"/>
                <w:b/>
                <w:bCs/>
                <w:w w:val="80"/>
                <w:sz w:val="28"/>
                <w:szCs w:val="28"/>
                <w:vertAlign w:val="baseline"/>
                <w:lang w:val="en-US" w:eastAsia="zh-CN"/>
              </w:rPr>
              <w:t>序号</w:t>
            </w:r>
          </w:p>
        </w:tc>
        <w:tc>
          <w:tcPr>
            <w:tcW w:w="3042" w:type="dxa"/>
            <w:vAlign w:val="center"/>
          </w:tcPr>
          <w:p w14:paraId="3FE3F064">
            <w:pPr>
              <w:ind w:left="0" w:leftChars="0" w:right="0" w:rightChars="0" w:firstLine="0" w:firstLineChars="0"/>
              <w:jc w:val="center"/>
              <w:rPr>
                <w:rFonts w:hint="eastAsia"/>
                <w:b/>
                <w:bCs/>
                <w:sz w:val="28"/>
                <w:szCs w:val="28"/>
                <w:vertAlign w:val="baseline"/>
                <w:lang w:val="en-US" w:eastAsia="zh-CN"/>
              </w:rPr>
            </w:pPr>
            <w:r>
              <w:rPr>
                <w:rFonts w:hint="eastAsia"/>
                <w:b/>
                <w:bCs/>
                <w:sz w:val="28"/>
                <w:szCs w:val="28"/>
                <w:vertAlign w:val="baseline"/>
                <w:lang w:val="en-US" w:eastAsia="zh-CN"/>
              </w:rPr>
              <w:t>单 位 名 称</w:t>
            </w:r>
          </w:p>
        </w:tc>
        <w:tc>
          <w:tcPr>
            <w:tcW w:w="870" w:type="dxa"/>
            <w:vAlign w:val="center"/>
          </w:tcPr>
          <w:p w14:paraId="1ED32896">
            <w:pPr>
              <w:keepNext w:val="0"/>
              <w:keepLines w:val="0"/>
              <w:pageBreakBefore w:val="0"/>
              <w:widowControl w:val="0"/>
              <w:kinsoku/>
              <w:wordWrap/>
              <w:overflowPunct/>
              <w:topLinePunct w:val="0"/>
              <w:autoSpaceDE/>
              <w:autoSpaceDN/>
              <w:bidi w:val="0"/>
              <w:spacing w:before="0" w:after="0" w:line="360" w:lineRule="exact"/>
              <w:ind w:left="0" w:leftChars="0" w:right="0" w:rightChars="0" w:firstLine="0" w:firstLineChars="0"/>
              <w:jc w:val="center"/>
              <w:outlineLvl w:val="9"/>
              <w:rPr>
                <w:rFonts w:hint="eastAsia" w:eastAsia="宋体"/>
                <w:b/>
                <w:bCs/>
                <w:sz w:val="28"/>
                <w:szCs w:val="28"/>
                <w:vertAlign w:val="baseline"/>
                <w:lang w:val="en-US" w:eastAsia="zh-CN"/>
              </w:rPr>
            </w:pPr>
            <w:r>
              <w:rPr>
                <w:rFonts w:hint="eastAsia"/>
                <w:b/>
                <w:bCs/>
                <w:sz w:val="28"/>
                <w:szCs w:val="28"/>
                <w:vertAlign w:val="baseline"/>
                <w:lang w:val="en-US" w:eastAsia="zh-CN"/>
              </w:rPr>
              <w:t>费  率</w:t>
            </w:r>
          </w:p>
        </w:tc>
        <w:tc>
          <w:tcPr>
            <w:tcW w:w="1050" w:type="dxa"/>
            <w:vAlign w:val="center"/>
          </w:tcPr>
          <w:p w14:paraId="7FEA81C2">
            <w:pPr>
              <w:keepNext w:val="0"/>
              <w:keepLines w:val="0"/>
              <w:pageBreakBefore w:val="0"/>
              <w:widowControl w:val="0"/>
              <w:kinsoku/>
              <w:wordWrap/>
              <w:overflowPunct/>
              <w:topLinePunct w:val="0"/>
              <w:autoSpaceDE/>
              <w:autoSpaceDN/>
              <w:bidi w:val="0"/>
              <w:spacing w:before="0" w:after="0" w:line="360" w:lineRule="exact"/>
              <w:ind w:left="0" w:leftChars="0" w:right="0" w:rightChars="0" w:firstLine="0" w:firstLineChars="0"/>
              <w:jc w:val="center"/>
              <w:outlineLvl w:val="9"/>
              <w:rPr>
                <w:rFonts w:hint="eastAsia"/>
                <w:b/>
                <w:bCs/>
                <w:sz w:val="28"/>
                <w:szCs w:val="28"/>
                <w:vertAlign w:val="baseline"/>
                <w:lang w:val="en-US" w:eastAsia="zh-CN"/>
              </w:rPr>
            </w:pPr>
            <w:r>
              <w:rPr>
                <w:rFonts w:hint="eastAsia"/>
                <w:b/>
                <w:bCs/>
                <w:sz w:val="28"/>
                <w:szCs w:val="28"/>
                <w:vertAlign w:val="baseline"/>
                <w:lang w:val="en-US" w:eastAsia="zh-CN"/>
              </w:rPr>
              <w:t>计时</w:t>
            </w:r>
          </w:p>
        </w:tc>
        <w:tc>
          <w:tcPr>
            <w:tcW w:w="1665" w:type="dxa"/>
            <w:vAlign w:val="center"/>
          </w:tcPr>
          <w:p w14:paraId="444D7656">
            <w:pPr>
              <w:ind w:left="0" w:leftChars="0" w:right="0" w:rightChars="0" w:firstLine="0" w:firstLineChars="0"/>
              <w:jc w:val="center"/>
              <w:rPr>
                <w:rFonts w:hint="eastAsia"/>
                <w:b/>
                <w:bCs/>
                <w:sz w:val="21"/>
                <w:szCs w:val="21"/>
                <w:vertAlign w:val="baseline"/>
                <w:lang w:val="en-US" w:eastAsia="zh-CN"/>
              </w:rPr>
            </w:pPr>
            <w:r>
              <w:rPr>
                <w:rFonts w:hint="eastAsia"/>
                <w:b/>
                <w:bCs/>
                <w:sz w:val="28"/>
                <w:szCs w:val="28"/>
                <w:vertAlign w:val="baseline"/>
                <w:lang w:val="en-US" w:eastAsia="zh-CN"/>
              </w:rPr>
              <w:t>业绩</w:t>
            </w:r>
          </w:p>
        </w:tc>
        <w:tc>
          <w:tcPr>
            <w:tcW w:w="1455" w:type="dxa"/>
            <w:vAlign w:val="center"/>
          </w:tcPr>
          <w:p w14:paraId="55BF60CC">
            <w:pPr>
              <w:ind w:left="0" w:leftChars="0" w:right="0" w:rightChars="0" w:firstLine="0" w:firstLineChars="0"/>
              <w:jc w:val="center"/>
              <w:rPr>
                <w:rFonts w:hint="eastAsia"/>
                <w:b/>
                <w:bCs/>
                <w:sz w:val="21"/>
                <w:szCs w:val="21"/>
                <w:vertAlign w:val="baseline"/>
                <w:lang w:val="en-US" w:eastAsia="zh-CN"/>
              </w:rPr>
            </w:pPr>
            <w:r>
              <w:rPr>
                <w:rFonts w:hint="eastAsia"/>
                <w:b/>
                <w:bCs/>
                <w:sz w:val="24"/>
                <w:szCs w:val="24"/>
                <w:vertAlign w:val="baseline"/>
                <w:lang w:val="en-US" w:eastAsia="zh-CN"/>
              </w:rPr>
              <w:t>投入规模及人员资格</w:t>
            </w:r>
          </w:p>
        </w:tc>
        <w:tc>
          <w:tcPr>
            <w:tcW w:w="1332" w:type="dxa"/>
            <w:vAlign w:val="center"/>
          </w:tcPr>
          <w:p w14:paraId="3ED66E04">
            <w:pPr>
              <w:ind w:left="0" w:leftChars="0" w:right="0" w:rightChars="0" w:firstLine="0" w:firstLineChars="0"/>
              <w:jc w:val="center"/>
              <w:rPr>
                <w:rFonts w:hint="eastAsia"/>
                <w:b/>
                <w:bCs/>
                <w:sz w:val="28"/>
                <w:szCs w:val="28"/>
                <w:vertAlign w:val="baseline"/>
                <w:lang w:val="en-US" w:eastAsia="zh-CN"/>
              </w:rPr>
            </w:pPr>
            <w:r>
              <w:rPr>
                <w:rFonts w:hint="eastAsia"/>
                <w:b/>
                <w:bCs/>
                <w:sz w:val="28"/>
                <w:szCs w:val="28"/>
                <w:vertAlign w:val="baseline"/>
                <w:lang w:val="en-US" w:eastAsia="zh-CN"/>
              </w:rPr>
              <w:t>备  注</w:t>
            </w:r>
          </w:p>
        </w:tc>
      </w:tr>
      <w:tr w14:paraId="34099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708" w:type="dxa"/>
            <w:vAlign w:val="center"/>
          </w:tcPr>
          <w:p w14:paraId="20A99FAC">
            <w:pPr>
              <w:ind w:left="0" w:leftChars="0" w:right="0" w:righ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w:t>
            </w:r>
          </w:p>
        </w:tc>
        <w:tc>
          <w:tcPr>
            <w:tcW w:w="3042" w:type="dxa"/>
            <w:vAlign w:val="center"/>
          </w:tcPr>
          <w:p w14:paraId="2F2FDCB1">
            <w:pPr>
              <w:keepNext w:val="0"/>
              <w:keepLines w:val="0"/>
              <w:widowControl/>
              <w:suppressLineNumbers w:val="0"/>
              <w:jc w:val="left"/>
              <w:rPr>
                <w:rFonts w:hint="eastAsia"/>
                <w:sz w:val="24"/>
                <w:szCs w:val="24"/>
                <w:vertAlign w:val="baseline"/>
                <w:lang w:val="en-US" w:eastAsia="zh-CN"/>
              </w:rPr>
            </w:pPr>
          </w:p>
        </w:tc>
        <w:tc>
          <w:tcPr>
            <w:tcW w:w="870" w:type="dxa"/>
            <w:vAlign w:val="center"/>
          </w:tcPr>
          <w:p w14:paraId="35A989F1">
            <w:pPr>
              <w:ind w:left="0" w:leftChars="0" w:right="0" w:rightChars="0" w:firstLine="0" w:firstLineChars="0"/>
              <w:jc w:val="center"/>
              <w:rPr>
                <w:rFonts w:hint="eastAsia"/>
                <w:sz w:val="28"/>
                <w:szCs w:val="28"/>
                <w:vertAlign w:val="baseline"/>
                <w:lang w:val="en-US" w:eastAsia="zh-CN"/>
              </w:rPr>
            </w:pPr>
          </w:p>
        </w:tc>
        <w:tc>
          <w:tcPr>
            <w:tcW w:w="1050" w:type="dxa"/>
            <w:vAlign w:val="center"/>
          </w:tcPr>
          <w:p w14:paraId="69DCAF2B">
            <w:pPr>
              <w:ind w:left="0" w:leftChars="0" w:right="0" w:rightChars="0" w:firstLine="0" w:firstLineChars="0"/>
              <w:jc w:val="center"/>
              <w:rPr>
                <w:rFonts w:hint="eastAsia"/>
                <w:sz w:val="28"/>
                <w:szCs w:val="28"/>
                <w:vertAlign w:val="baseline"/>
                <w:lang w:val="en-US" w:eastAsia="zh-CN"/>
              </w:rPr>
            </w:pPr>
          </w:p>
        </w:tc>
        <w:tc>
          <w:tcPr>
            <w:tcW w:w="1665" w:type="dxa"/>
            <w:vAlign w:val="center"/>
          </w:tcPr>
          <w:p w14:paraId="4DBBE13D">
            <w:pPr>
              <w:ind w:left="0" w:leftChars="0" w:right="0" w:rightChars="0" w:firstLine="0" w:firstLineChars="0"/>
              <w:jc w:val="center"/>
              <w:rPr>
                <w:rFonts w:hint="eastAsia"/>
                <w:sz w:val="28"/>
                <w:szCs w:val="28"/>
                <w:vertAlign w:val="baseline"/>
                <w:lang w:val="en-US" w:eastAsia="zh-CN"/>
              </w:rPr>
            </w:pPr>
          </w:p>
        </w:tc>
        <w:tc>
          <w:tcPr>
            <w:tcW w:w="1455" w:type="dxa"/>
            <w:vAlign w:val="center"/>
          </w:tcPr>
          <w:p w14:paraId="04E0141A">
            <w:pPr>
              <w:ind w:left="0" w:leftChars="0" w:right="0" w:rightChars="0" w:firstLine="0" w:firstLineChars="0"/>
              <w:jc w:val="center"/>
              <w:rPr>
                <w:rFonts w:hint="eastAsia"/>
                <w:sz w:val="28"/>
                <w:szCs w:val="28"/>
                <w:vertAlign w:val="baseline"/>
                <w:lang w:val="en-US" w:eastAsia="zh-CN"/>
              </w:rPr>
            </w:pPr>
          </w:p>
        </w:tc>
        <w:tc>
          <w:tcPr>
            <w:tcW w:w="1332" w:type="dxa"/>
            <w:vAlign w:val="center"/>
          </w:tcPr>
          <w:p w14:paraId="5DED18F9">
            <w:pPr>
              <w:ind w:left="0" w:leftChars="0" w:right="0" w:rightChars="0" w:firstLine="0" w:firstLineChars="0"/>
              <w:jc w:val="center"/>
              <w:rPr>
                <w:rFonts w:hint="eastAsia"/>
                <w:sz w:val="28"/>
                <w:szCs w:val="28"/>
                <w:vertAlign w:val="baseline"/>
                <w:lang w:val="en-US" w:eastAsia="zh-CN"/>
              </w:rPr>
            </w:pPr>
          </w:p>
        </w:tc>
      </w:tr>
      <w:tr w14:paraId="3ADDF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708" w:type="dxa"/>
            <w:vAlign w:val="center"/>
          </w:tcPr>
          <w:p w14:paraId="6D24872F">
            <w:pPr>
              <w:ind w:left="0" w:leftChars="0" w:right="0" w:righ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2</w:t>
            </w:r>
          </w:p>
        </w:tc>
        <w:tc>
          <w:tcPr>
            <w:tcW w:w="3042" w:type="dxa"/>
            <w:vAlign w:val="center"/>
          </w:tcPr>
          <w:p w14:paraId="64821227">
            <w:pPr>
              <w:keepNext w:val="0"/>
              <w:keepLines w:val="0"/>
              <w:widowControl/>
              <w:suppressLineNumbers w:val="0"/>
              <w:jc w:val="left"/>
              <w:rPr>
                <w:rFonts w:hint="eastAsia"/>
                <w:sz w:val="24"/>
                <w:szCs w:val="24"/>
                <w:vertAlign w:val="baseline"/>
                <w:lang w:val="en-US" w:eastAsia="zh-CN"/>
              </w:rPr>
            </w:pPr>
          </w:p>
        </w:tc>
        <w:tc>
          <w:tcPr>
            <w:tcW w:w="870" w:type="dxa"/>
            <w:vAlign w:val="center"/>
          </w:tcPr>
          <w:p w14:paraId="7991A865">
            <w:pPr>
              <w:ind w:left="0" w:leftChars="0" w:right="0" w:rightChars="0" w:firstLine="0" w:firstLineChars="0"/>
              <w:jc w:val="center"/>
              <w:rPr>
                <w:rFonts w:hint="eastAsia"/>
                <w:sz w:val="28"/>
                <w:szCs w:val="28"/>
                <w:vertAlign w:val="baseline"/>
                <w:lang w:val="en-US" w:eastAsia="zh-CN"/>
              </w:rPr>
            </w:pPr>
          </w:p>
        </w:tc>
        <w:tc>
          <w:tcPr>
            <w:tcW w:w="1050" w:type="dxa"/>
            <w:vAlign w:val="center"/>
          </w:tcPr>
          <w:p w14:paraId="1DCFD31E">
            <w:pPr>
              <w:ind w:left="0" w:leftChars="0" w:right="0" w:rightChars="0" w:firstLine="0" w:firstLineChars="0"/>
              <w:jc w:val="center"/>
              <w:rPr>
                <w:rFonts w:hint="eastAsia"/>
                <w:sz w:val="28"/>
                <w:szCs w:val="28"/>
                <w:vertAlign w:val="baseline"/>
                <w:lang w:val="en-US" w:eastAsia="zh-CN"/>
              </w:rPr>
            </w:pPr>
          </w:p>
        </w:tc>
        <w:tc>
          <w:tcPr>
            <w:tcW w:w="1665" w:type="dxa"/>
            <w:vAlign w:val="center"/>
          </w:tcPr>
          <w:p w14:paraId="76448B40">
            <w:pPr>
              <w:ind w:left="0" w:leftChars="0" w:right="0" w:rightChars="0" w:firstLine="0" w:firstLineChars="0"/>
              <w:jc w:val="center"/>
              <w:rPr>
                <w:rFonts w:hint="eastAsia"/>
                <w:sz w:val="28"/>
                <w:szCs w:val="28"/>
                <w:vertAlign w:val="baseline"/>
                <w:lang w:val="en-US" w:eastAsia="zh-CN"/>
              </w:rPr>
            </w:pPr>
          </w:p>
        </w:tc>
        <w:tc>
          <w:tcPr>
            <w:tcW w:w="1455" w:type="dxa"/>
            <w:vAlign w:val="center"/>
          </w:tcPr>
          <w:p w14:paraId="0234753D">
            <w:pPr>
              <w:ind w:left="0" w:leftChars="0" w:right="0" w:rightChars="0" w:firstLine="0" w:firstLineChars="0"/>
              <w:jc w:val="center"/>
              <w:rPr>
                <w:rFonts w:hint="eastAsia"/>
                <w:sz w:val="28"/>
                <w:szCs w:val="28"/>
                <w:vertAlign w:val="baseline"/>
                <w:lang w:val="en-US" w:eastAsia="zh-CN"/>
              </w:rPr>
            </w:pPr>
          </w:p>
        </w:tc>
        <w:tc>
          <w:tcPr>
            <w:tcW w:w="1332" w:type="dxa"/>
            <w:vAlign w:val="center"/>
          </w:tcPr>
          <w:p w14:paraId="35C15EA1">
            <w:pPr>
              <w:ind w:left="0" w:leftChars="0" w:right="0" w:rightChars="0" w:firstLine="0" w:firstLineChars="0"/>
              <w:jc w:val="center"/>
              <w:rPr>
                <w:rFonts w:hint="eastAsia"/>
                <w:sz w:val="28"/>
                <w:szCs w:val="28"/>
                <w:vertAlign w:val="baseline"/>
                <w:lang w:val="en-US" w:eastAsia="zh-CN"/>
              </w:rPr>
            </w:pPr>
          </w:p>
        </w:tc>
      </w:tr>
      <w:tr w14:paraId="305FA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708" w:type="dxa"/>
            <w:vAlign w:val="center"/>
          </w:tcPr>
          <w:p w14:paraId="5F3A1683">
            <w:pPr>
              <w:ind w:left="0" w:leftChars="0" w:right="0" w:righ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3</w:t>
            </w:r>
          </w:p>
        </w:tc>
        <w:tc>
          <w:tcPr>
            <w:tcW w:w="3042" w:type="dxa"/>
            <w:vAlign w:val="center"/>
          </w:tcPr>
          <w:p w14:paraId="075C1D32">
            <w:pPr>
              <w:keepNext w:val="0"/>
              <w:keepLines w:val="0"/>
              <w:widowControl/>
              <w:suppressLineNumbers w:val="0"/>
              <w:jc w:val="left"/>
              <w:rPr>
                <w:rFonts w:hint="eastAsia" w:eastAsia="宋体"/>
                <w:sz w:val="24"/>
                <w:szCs w:val="24"/>
                <w:vertAlign w:val="baseline"/>
                <w:lang w:val="en-US" w:eastAsia="zh-CN"/>
              </w:rPr>
            </w:pPr>
          </w:p>
        </w:tc>
        <w:tc>
          <w:tcPr>
            <w:tcW w:w="870" w:type="dxa"/>
            <w:vAlign w:val="center"/>
          </w:tcPr>
          <w:p w14:paraId="0AC1299C">
            <w:pPr>
              <w:ind w:left="0" w:leftChars="0" w:right="0" w:rightChars="0" w:firstLine="0" w:firstLineChars="0"/>
              <w:jc w:val="center"/>
              <w:rPr>
                <w:rFonts w:hint="eastAsia"/>
                <w:sz w:val="28"/>
                <w:szCs w:val="28"/>
                <w:vertAlign w:val="baseline"/>
                <w:lang w:val="en-US" w:eastAsia="zh-CN"/>
              </w:rPr>
            </w:pPr>
          </w:p>
        </w:tc>
        <w:tc>
          <w:tcPr>
            <w:tcW w:w="1050" w:type="dxa"/>
            <w:vAlign w:val="center"/>
          </w:tcPr>
          <w:p w14:paraId="372CFBDC">
            <w:pPr>
              <w:ind w:left="0" w:leftChars="0" w:right="0" w:rightChars="0" w:firstLine="0" w:firstLineChars="0"/>
              <w:jc w:val="center"/>
              <w:rPr>
                <w:rFonts w:hint="eastAsia"/>
                <w:sz w:val="28"/>
                <w:szCs w:val="28"/>
                <w:vertAlign w:val="baseline"/>
                <w:lang w:val="en-US" w:eastAsia="zh-CN"/>
              </w:rPr>
            </w:pPr>
          </w:p>
        </w:tc>
        <w:tc>
          <w:tcPr>
            <w:tcW w:w="1665" w:type="dxa"/>
            <w:vAlign w:val="center"/>
          </w:tcPr>
          <w:p w14:paraId="3B68B996">
            <w:pPr>
              <w:ind w:left="0" w:leftChars="0" w:right="0" w:rightChars="0" w:firstLine="0" w:firstLineChars="0"/>
              <w:jc w:val="center"/>
              <w:rPr>
                <w:rFonts w:hint="eastAsia"/>
                <w:sz w:val="28"/>
                <w:szCs w:val="28"/>
                <w:vertAlign w:val="baseline"/>
                <w:lang w:val="en-US" w:eastAsia="zh-CN"/>
              </w:rPr>
            </w:pPr>
          </w:p>
        </w:tc>
        <w:tc>
          <w:tcPr>
            <w:tcW w:w="1455" w:type="dxa"/>
            <w:vAlign w:val="center"/>
          </w:tcPr>
          <w:p w14:paraId="271A660A">
            <w:pPr>
              <w:ind w:left="0" w:leftChars="0" w:right="0" w:rightChars="0" w:firstLine="0" w:firstLineChars="0"/>
              <w:jc w:val="center"/>
              <w:rPr>
                <w:rFonts w:hint="eastAsia"/>
                <w:sz w:val="28"/>
                <w:szCs w:val="28"/>
                <w:vertAlign w:val="baseline"/>
                <w:lang w:val="en-US" w:eastAsia="zh-CN"/>
              </w:rPr>
            </w:pPr>
          </w:p>
        </w:tc>
        <w:tc>
          <w:tcPr>
            <w:tcW w:w="1332" w:type="dxa"/>
            <w:vAlign w:val="center"/>
          </w:tcPr>
          <w:p w14:paraId="37DF221E">
            <w:pPr>
              <w:ind w:left="0" w:leftChars="0" w:right="0" w:rightChars="0" w:firstLine="0" w:firstLineChars="0"/>
              <w:jc w:val="center"/>
              <w:rPr>
                <w:rFonts w:hint="eastAsia"/>
                <w:sz w:val="28"/>
                <w:szCs w:val="28"/>
                <w:vertAlign w:val="baseline"/>
                <w:lang w:val="en-US" w:eastAsia="zh-CN"/>
              </w:rPr>
            </w:pPr>
          </w:p>
        </w:tc>
      </w:tr>
      <w:tr w14:paraId="7019B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708" w:type="dxa"/>
            <w:vAlign w:val="center"/>
          </w:tcPr>
          <w:p w14:paraId="3E0BC59E">
            <w:pPr>
              <w:ind w:left="0" w:leftChars="0" w:right="0" w:righ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4</w:t>
            </w:r>
          </w:p>
        </w:tc>
        <w:tc>
          <w:tcPr>
            <w:tcW w:w="3042" w:type="dxa"/>
            <w:vAlign w:val="center"/>
          </w:tcPr>
          <w:p w14:paraId="4FAE152E">
            <w:pPr>
              <w:keepNext w:val="0"/>
              <w:keepLines w:val="0"/>
              <w:widowControl/>
              <w:suppressLineNumbers w:val="0"/>
              <w:jc w:val="left"/>
              <w:rPr>
                <w:rFonts w:hint="eastAsia"/>
                <w:sz w:val="24"/>
                <w:szCs w:val="24"/>
                <w:vertAlign w:val="baseline"/>
                <w:lang w:val="en-US" w:eastAsia="zh-CN"/>
              </w:rPr>
            </w:pPr>
          </w:p>
        </w:tc>
        <w:tc>
          <w:tcPr>
            <w:tcW w:w="870" w:type="dxa"/>
            <w:vAlign w:val="center"/>
          </w:tcPr>
          <w:p w14:paraId="02B9F499">
            <w:pPr>
              <w:ind w:left="0" w:leftChars="0" w:right="0" w:rightChars="0" w:firstLine="0" w:firstLineChars="0"/>
              <w:jc w:val="center"/>
              <w:rPr>
                <w:rFonts w:hint="eastAsia"/>
                <w:sz w:val="28"/>
                <w:szCs w:val="28"/>
                <w:vertAlign w:val="baseline"/>
                <w:lang w:val="en-US" w:eastAsia="zh-CN"/>
              </w:rPr>
            </w:pPr>
          </w:p>
        </w:tc>
        <w:tc>
          <w:tcPr>
            <w:tcW w:w="1050" w:type="dxa"/>
            <w:vAlign w:val="center"/>
          </w:tcPr>
          <w:p w14:paraId="08841311">
            <w:pPr>
              <w:ind w:left="0" w:leftChars="0" w:right="0" w:rightChars="0" w:firstLine="0" w:firstLineChars="0"/>
              <w:jc w:val="center"/>
              <w:rPr>
                <w:rFonts w:hint="eastAsia"/>
                <w:sz w:val="28"/>
                <w:szCs w:val="28"/>
                <w:vertAlign w:val="baseline"/>
                <w:lang w:val="en-US" w:eastAsia="zh-CN"/>
              </w:rPr>
            </w:pPr>
          </w:p>
        </w:tc>
        <w:tc>
          <w:tcPr>
            <w:tcW w:w="1665" w:type="dxa"/>
            <w:vAlign w:val="center"/>
          </w:tcPr>
          <w:p w14:paraId="502F4105">
            <w:pPr>
              <w:ind w:left="0" w:leftChars="0" w:right="0" w:rightChars="0" w:firstLine="0" w:firstLineChars="0"/>
              <w:jc w:val="center"/>
              <w:rPr>
                <w:rFonts w:hint="eastAsia"/>
                <w:sz w:val="28"/>
                <w:szCs w:val="28"/>
                <w:vertAlign w:val="baseline"/>
                <w:lang w:val="en-US" w:eastAsia="zh-CN"/>
              </w:rPr>
            </w:pPr>
          </w:p>
        </w:tc>
        <w:tc>
          <w:tcPr>
            <w:tcW w:w="1455" w:type="dxa"/>
            <w:vAlign w:val="center"/>
          </w:tcPr>
          <w:p w14:paraId="23885780">
            <w:pPr>
              <w:ind w:left="0" w:leftChars="0" w:right="0" w:rightChars="0" w:firstLine="0" w:firstLineChars="0"/>
              <w:jc w:val="center"/>
              <w:rPr>
                <w:rFonts w:hint="eastAsia"/>
                <w:sz w:val="28"/>
                <w:szCs w:val="28"/>
                <w:vertAlign w:val="baseline"/>
                <w:lang w:val="en-US" w:eastAsia="zh-CN"/>
              </w:rPr>
            </w:pPr>
          </w:p>
        </w:tc>
        <w:tc>
          <w:tcPr>
            <w:tcW w:w="1332" w:type="dxa"/>
            <w:vAlign w:val="center"/>
          </w:tcPr>
          <w:p w14:paraId="429E3C4F">
            <w:pPr>
              <w:ind w:left="0" w:leftChars="0" w:right="0" w:rightChars="0" w:firstLine="0" w:firstLineChars="0"/>
              <w:jc w:val="center"/>
              <w:rPr>
                <w:rFonts w:hint="eastAsia"/>
                <w:sz w:val="28"/>
                <w:szCs w:val="28"/>
                <w:vertAlign w:val="baseline"/>
                <w:lang w:val="en-US" w:eastAsia="zh-CN"/>
              </w:rPr>
            </w:pPr>
          </w:p>
        </w:tc>
      </w:tr>
      <w:tr w14:paraId="5EF20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708" w:type="dxa"/>
            <w:vAlign w:val="center"/>
          </w:tcPr>
          <w:p w14:paraId="1B71A0B9">
            <w:pPr>
              <w:ind w:left="0" w:leftChars="0" w:right="0" w:righ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w:t>
            </w:r>
          </w:p>
        </w:tc>
        <w:tc>
          <w:tcPr>
            <w:tcW w:w="3042" w:type="dxa"/>
            <w:vAlign w:val="center"/>
          </w:tcPr>
          <w:p w14:paraId="0C439293">
            <w:pPr>
              <w:keepNext w:val="0"/>
              <w:keepLines w:val="0"/>
              <w:widowControl/>
              <w:suppressLineNumbers w:val="0"/>
              <w:jc w:val="left"/>
              <w:rPr>
                <w:rFonts w:hint="eastAsia"/>
                <w:sz w:val="24"/>
                <w:szCs w:val="24"/>
                <w:vertAlign w:val="baseline"/>
                <w:lang w:val="en-US" w:eastAsia="zh-CN"/>
              </w:rPr>
            </w:pPr>
          </w:p>
        </w:tc>
        <w:tc>
          <w:tcPr>
            <w:tcW w:w="870" w:type="dxa"/>
            <w:vAlign w:val="center"/>
          </w:tcPr>
          <w:p w14:paraId="62A2D5D3">
            <w:pPr>
              <w:ind w:left="0" w:leftChars="0" w:right="0" w:rightChars="0" w:firstLine="0" w:firstLineChars="0"/>
              <w:jc w:val="center"/>
              <w:rPr>
                <w:rFonts w:hint="eastAsia"/>
                <w:sz w:val="28"/>
                <w:szCs w:val="28"/>
                <w:vertAlign w:val="baseline"/>
                <w:lang w:val="en-US" w:eastAsia="zh-CN"/>
              </w:rPr>
            </w:pPr>
          </w:p>
        </w:tc>
        <w:tc>
          <w:tcPr>
            <w:tcW w:w="1050" w:type="dxa"/>
            <w:vAlign w:val="center"/>
          </w:tcPr>
          <w:p w14:paraId="1AAA7021">
            <w:pPr>
              <w:ind w:left="0" w:leftChars="0" w:right="0" w:rightChars="0" w:firstLine="0" w:firstLineChars="0"/>
              <w:jc w:val="center"/>
              <w:rPr>
                <w:rFonts w:hint="eastAsia"/>
                <w:sz w:val="28"/>
                <w:szCs w:val="28"/>
                <w:vertAlign w:val="baseline"/>
                <w:lang w:val="en-US" w:eastAsia="zh-CN"/>
              </w:rPr>
            </w:pPr>
          </w:p>
        </w:tc>
        <w:tc>
          <w:tcPr>
            <w:tcW w:w="1665" w:type="dxa"/>
            <w:vAlign w:val="center"/>
          </w:tcPr>
          <w:p w14:paraId="21331ECF">
            <w:pPr>
              <w:ind w:left="0" w:leftChars="0" w:right="0" w:rightChars="0" w:firstLine="0" w:firstLineChars="0"/>
              <w:jc w:val="center"/>
              <w:rPr>
                <w:rFonts w:hint="eastAsia"/>
                <w:sz w:val="28"/>
                <w:szCs w:val="28"/>
                <w:vertAlign w:val="baseline"/>
                <w:lang w:val="en-US" w:eastAsia="zh-CN"/>
              </w:rPr>
            </w:pPr>
          </w:p>
        </w:tc>
        <w:tc>
          <w:tcPr>
            <w:tcW w:w="1455" w:type="dxa"/>
            <w:vAlign w:val="center"/>
          </w:tcPr>
          <w:p w14:paraId="3992325B">
            <w:pPr>
              <w:ind w:left="0" w:leftChars="0" w:right="0" w:rightChars="0" w:firstLine="0" w:firstLineChars="0"/>
              <w:jc w:val="center"/>
              <w:rPr>
                <w:rFonts w:hint="eastAsia"/>
                <w:sz w:val="28"/>
                <w:szCs w:val="28"/>
                <w:vertAlign w:val="baseline"/>
                <w:lang w:val="en-US" w:eastAsia="zh-CN"/>
              </w:rPr>
            </w:pPr>
          </w:p>
        </w:tc>
        <w:tc>
          <w:tcPr>
            <w:tcW w:w="1332" w:type="dxa"/>
            <w:vAlign w:val="center"/>
          </w:tcPr>
          <w:p w14:paraId="677CADD3">
            <w:pPr>
              <w:ind w:left="0" w:leftChars="0" w:right="0" w:rightChars="0" w:firstLine="0" w:firstLineChars="0"/>
              <w:jc w:val="center"/>
              <w:rPr>
                <w:rFonts w:hint="eastAsia"/>
                <w:sz w:val="28"/>
                <w:szCs w:val="28"/>
                <w:vertAlign w:val="baseline"/>
                <w:lang w:val="en-US" w:eastAsia="zh-CN"/>
              </w:rPr>
            </w:pPr>
          </w:p>
        </w:tc>
      </w:tr>
      <w:tr w14:paraId="47345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708" w:type="dxa"/>
            <w:vAlign w:val="center"/>
          </w:tcPr>
          <w:p w14:paraId="2E31ACC6">
            <w:pPr>
              <w:ind w:left="0" w:leftChars="0" w:right="0" w:rightChars="0" w:firstLine="0" w:firstLineChars="0"/>
              <w:jc w:val="center"/>
              <w:rPr>
                <w:sz w:val="24"/>
                <w:szCs w:val="24"/>
                <w:vertAlign w:val="baseline"/>
                <w:lang w:val="en-US" w:eastAsia="zh-CN"/>
              </w:rPr>
            </w:pPr>
            <w:r>
              <w:rPr>
                <w:rFonts w:hint="eastAsia"/>
                <w:sz w:val="24"/>
                <w:szCs w:val="24"/>
                <w:vertAlign w:val="baseline"/>
                <w:lang w:val="en-US" w:eastAsia="zh-CN"/>
              </w:rPr>
              <w:t>6</w:t>
            </w:r>
          </w:p>
        </w:tc>
        <w:tc>
          <w:tcPr>
            <w:tcW w:w="3042" w:type="dxa"/>
            <w:vAlign w:val="center"/>
          </w:tcPr>
          <w:p w14:paraId="46076899">
            <w:pPr>
              <w:keepNext w:val="0"/>
              <w:keepLines w:val="0"/>
              <w:widowControl/>
              <w:suppressLineNumbers w:val="0"/>
              <w:jc w:val="left"/>
              <w:rPr>
                <w:rFonts w:hint="eastAsia"/>
                <w:sz w:val="24"/>
                <w:szCs w:val="24"/>
                <w:vertAlign w:val="baseline"/>
                <w:lang w:val="en-US" w:eastAsia="zh-CN"/>
              </w:rPr>
            </w:pPr>
          </w:p>
        </w:tc>
        <w:tc>
          <w:tcPr>
            <w:tcW w:w="870" w:type="dxa"/>
            <w:vAlign w:val="center"/>
          </w:tcPr>
          <w:p w14:paraId="00615987">
            <w:pPr>
              <w:ind w:left="0" w:leftChars="0" w:right="0" w:rightChars="0" w:firstLine="0" w:firstLineChars="0"/>
              <w:jc w:val="center"/>
              <w:rPr>
                <w:rFonts w:hint="eastAsia"/>
                <w:sz w:val="28"/>
                <w:szCs w:val="28"/>
                <w:vertAlign w:val="baseline"/>
                <w:lang w:val="en-US" w:eastAsia="zh-CN"/>
              </w:rPr>
            </w:pPr>
          </w:p>
        </w:tc>
        <w:tc>
          <w:tcPr>
            <w:tcW w:w="1050" w:type="dxa"/>
            <w:vAlign w:val="center"/>
          </w:tcPr>
          <w:p w14:paraId="5D814B06">
            <w:pPr>
              <w:ind w:left="0" w:leftChars="0" w:right="0" w:rightChars="0" w:firstLine="0" w:firstLineChars="0"/>
              <w:jc w:val="center"/>
              <w:rPr>
                <w:rFonts w:hint="eastAsia"/>
                <w:sz w:val="28"/>
                <w:szCs w:val="28"/>
                <w:vertAlign w:val="baseline"/>
                <w:lang w:val="en-US" w:eastAsia="zh-CN"/>
              </w:rPr>
            </w:pPr>
          </w:p>
        </w:tc>
        <w:tc>
          <w:tcPr>
            <w:tcW w:w="1665" w:type="dxa"/>
            <w:vAlign w:val="center"/>
          </w:tcPr>
          <w:p w14:paraId="5626ABA4">
            <w:pPr>
              <w:ind w:left="0" w:leftChars="0" w:right="0" w:rightChars="0" w:firstLine="0" w:firstLineChars="0"/>
              <w:jc w:val="center"/>
              <w:rPr>
                <w:rFonts w:hint="eastAsia"/>
                <w:sz w:val="28"/>
                <w:szCs w:val="28"/>
                <w:vertAlign w:val="baseline"/>
                <w:lang w:val="en-US" w:eastAsia="zh-CN"/>
              </w:rPr>
            </w:pPr>
          </w:p>
        </w:tc>
        <w:tc>
          <w:tcPr>
            <w:tcW w:w="1455" w:type="dxa"/>
            <w:vAlign w:val="center"/>
          </w:tcPr>
          <w:p w14:paraId="2D5FC67B">
            <w:pPr>
              <w:ind w:left="0" w:leftChars="0" w:right="0" w:rightChars="0" w:firstLine="0" w:firstLineChars="0"/>
              <w:jc w:val="center"/>
              <w:rPr>
                <w:rFonts w:hint="eastAsia"/>
                <w:sz w:val="28"/>
                <w:szCs w:val="28"/>
                <w:vertAlign w:val="baseline"/>
                <w:lang w:val="en-US" w:eastAsia="zh-CN"/>
              </w:rPr>
            </w:pPr>
          </w:p>
        </w:tc>
        <w:tc>
          <w:tcPr>
            <w:tcW w:w="1332" w:type="dxa"/>
            <w:vAlign w:val="center"/>
          </w:tcPr>
          <w:p w14:paraId="02F0AB05">
            <w:pPr>
              <w:ind w:left="0" w:leftChars="0" w:right="0" w:rightChars="0" w:firstLine="0" w:firstLineChars="0"/>
              <w:jc w:val="center"/>
              <w:rPr>
                <w:rFonts w:hint="eastAsia"/>
                <w:sz w:val="28"/>
                <w:szCs w:val="28"/>
                <w:vertAlign w:val="baseline"/>
                <w:lang w:val="en-US" w:eastAsia="zh-CN"/>
              </w:rPr>
            </w:pPr>
          </w:p>
        </w:tc>
      </w:tr>
      <w:tr w14:paraId="2D1C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708" w:type="dxa"/>
            <w:vAlign w:val="center"/>
          </w:tcPr>
          <w:p w14:paraId="1C6416AC">
            <w:pPr>
              <w:ind w:left="0" w:leftChars="0" w:right="0" w:rightChars="0" w:firstLine="0" w:firstLineChars="0"/>
              <w:jc w:val="center"/>
              <w:rPr>
                <w:sz w:val="24"/>
                <w:szCs w:val="24"/>
                <w:vertAlign w:val="baseline"/>
                <w:lang w:val="en-US" w:eastAsia="zh-CN"/>
              </w:rPr>
            </w:pPr>
            <w:r>
              <w:rPr>
                <w:rFonts w:hint="eastAsia"/>
                <w:sz w:val="24"/>
                <w:szCs w:val="24"/>
                <w:vertAlign w:val="baseline"/>
                <w:lang w:val="en-US" w:eastAsia="zh-CN"/>
              </w:rPr>
              <w:t>7</w:t>
            </w:r>
          </w:p>
        </w:tc>
        <w:tc>
          <w:tcPr>
            <w:tcW w:w="3042" w:type="dxa"/>
            <w:vAlign w:val="center"/>
          </w:tcPr>
          <w:p w14:paraId="27FB083C">
            <w:pPr>
              <w:keepNext w:val="0"/>
              <w:keepLines w:val="0"/>
              <w:widowControl/>
              <w:suppressLineNumbers w:val="0"/>
              <w:jc w:val="left"/>
              <w:rPr>
                <w:rFonts w:hint="eastAsia"/>
                <w:sz w:val="24"/>
                <w:szCs w:val="24"/>
                <w:vertAlign w:val="baseline"/>
                <w:lang w:val="en-US" w:eastAsia="zh-CN"/>
              </w:rPr>
            </w:pPr>
          </w:p>
        </w:tc>
        <w:tc>
          <w:tcPr>
            <w:tcW w:w="870" w:type="dxa"/>
            <w:vAlign w:val="center"/>
          </w:tcPr>
          <w:p w14:paraId="6BABEF44">
            <w:pPr>
              <w:ind w:left="0" w:leftChars="0" w:right="0" w:rightChars="0" w:firstLine="0" w:firstLineChars="0"/>
              <w:jc w:val="center"/>
              <w:rPr>
                <w:rFonts w:hint="eastAsia"/>
                <w:sz w:val="28"/>
                <w:szCs w:val="28"/>
                <w:vertAlign w:val="baseline"/>
                <w:lang w:val="en-US" w:eastAsia="zh-CN"/>
              </w:rPr>
            </w:pPr>
          </w:p>
        </w:tc>
        <w:tc>
          <w:tcPr>
            <w:tcW w:w="1050" w:type="dxa"/>
            <w:vAlign w:val="center"/>
          </w:tcPr>
          <w:p w14:paraId="0A6026E0">
            <w:pPr>
              <w:ind w:left="0" w:leftChars="0" w:right="0" w:rightChars="0" w:firstLine="0" w:firstLineChars="0"/>
              <w:jc w:val="center"/>
              <w:rPr>
                <w:rFonts w:hint="eastAsia"/>
                <w:sz w:val="28"/>
                <w:szCs w:val="28"/>
                <w:vertAlign w:val="baseline"/>
                <w:lang w:val="en-US" w:eastAsia="zh-CN"/>
              </w:rPr>
            </w:pPr>
          </w:p>
        </w:tc>
        <w:tc>
          <w:tcPr>
            <w:tcW w:w="1665" w:type="dxa"/>
            <w:vAlign w:val="center"/>
          </w:tcPr>
          <w:p w14:paraId="1CE0AF95">
            <w:pPr>
              <w:ind w:left="0" w:leftChars="0" w:right="0" w:rightChars="0" w:firstLine="0" w:firstLineChars="0"/>
              <w:jc w:val="center"/>
              <w:rPr>
                <w:rFonts w:hint="eastAsia"/>
                <w:sz w:val="28"/>
                <w:szCs w:val="28"/>
                <w:vertAlign w:val="baseline"/>
                <w:lang w:val="en-US" w:eastAsia="zh-CN"/>
              </w:rPr>
            </w:pPr>
          </w:p>
        </w:tc>
        <w:tc>
          <w:tcPr>
            <w:tcW w:w="1455" w:type="dxa"/>
            <w:vAlign w:val="center"/>
          </w:tcPr>
          <w:p w14:paraId="60F47530">
            <w:pPr>
              <w:ind w:left="0" w:leftChars="0" w:right="0" w:rightChars="0" w:firstLine="0" w:firstLineChars="0"/>
              <w:jc w:val="center"/>
              <w:rPr>
                <w:rFonts w:hint="eastAsia"/>
                <w:sz w:val="28"/>
                <w:szCs w:val="28"/>
                <w:vertAlign w:val="baseline"/>
                <w:lang w:val="en-US" w:eastAsia="zh-CN"/>
              </w:rPr>
            </w:pPr>
          </w:p>
        </w:tc>
        <w:tc>
          <w:tcPr>
            <w:tcW w:w="1332" w:type="dxa"/>
            <w:vAlign w:val="center"/>
          </w:tcPr>
          <w:p w14:paraId="5FBEECDB">
            <w:pPr>
              <w:ind w:left="0" w:leftChars="0" w:right="0" w:rightChars="0" w:firstLine="0" w:firstLineChars="0"/>
              <w:jc w:val="center"/>
              <w:rPr>
                <w:rFonts w:hint="eastAsia"/>
                <w:sz w:val="28"/>
                <w:szCs w:val="28"/>
                <w:vertAlign w:val="baseline"/>
                <w:lang w:val="en-US" w:eastAsia="zh-CN"/>
              </w:rPr>
            </w:pPr>
          </w:p>
        </w:tc>
      </w:tr>
      <w:tr w14:paraId="76EB7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708" w:type="dxa"/>
            <w:vAlign w:val="center"/>
          </w:tcPr>
          <w:p w14:paraId="3B8CF256">
            <w:pPr>
              <w:ind w:left="0" w:leftChars="0" w:right="0" w:rightChars="0" w:firstLine="0" w:firstLineChars="0"/>
              <w:jc w:val="center"/>
              <w:rPr>
                <w:sz w:val="24"/>
                <w:szCs w:val="24"/>
                <w:vertAlign w:val="baseline"/>
                <w:lang w:val="en-US" w:eastAsia="zh-CN"/>
              </w:rPr>
            </w:pPr>
            <w:r>
              <w:rPr>
                <w:rFonts w:hint="eastAsia"/>
                <w:sz w:val="24"/>
                <w:szCs w:val="24"/>
                <w:vertAlign w:val="baseline"/>
                <w:lang w:val="en-US" w:eastAsia="zh-CN"/>
              </w:rPr>
              <w:t>8</w:t>
            </w:r>
          </w:p>
        </w:tc>
        <w:tc>
          <w:tcPr>
            <w:tcW w:w="3042" w:type="dxa"/>
            <w:vAlign w:val="center"/>
          </w:tcPr>
          <w:p w14:paraId="6AE88D69">
            <w:pPr>
              <w:keepNext w:val="0"/>
              <w:keepLines w:val="0"/>
              <w:widowControl/>
              <w:suppressLineNumbers w:val="0"/>
              <w:jc w:val="left"/>
              <w:rPr>
                <w:rFonts w:hint="eastAsia"/>
                <w:sz w:val="24"/>
                <w:szCs w:val="24"/>
                <w:vertAlign w:val="baseline"/>
                <w:lang w:val="en-US" w:eastAsia="zh-CN"/>
              </w:rPr>
            </w:pPr>
          </w:p>
        </w:tc>
        <w:tc>
          <w:tcPr>
            <w:tcW w:w="870" w:type="dxa"/>
            <w:vAlign w:val="center"/>
          </w:tcPr>
          <w:p w14:paraId="5401DE4C">
            <w:pPr>
              <w:ind w:left="0" w:leftChars="0" w:right="0" w:rightChars="0" w:firstLine="0" w:firstLineChars="0"/>
              <w:jc w:val="center"/>
              <w:rPr>
                <w:rFonts w:hint="eastAsia"/>
                <w:sz w:val="28"/>
                <w:szCs w:val="28"/>
                <w:vertAlign w:val="baseline"/>
                <w:lang w:val="en-US" w:eastAsia="zh-CN"/>
              </w:rPr>
            </w:pPr>
          </w:p>
        </w:tc>
        <w:tc>
          <w:tcPr>
            <w:tcW w:w="1050" w:type="dxa"/>
            <w:vAlign w:val="center"/>
          </w:tcPr>
          <w:p w14:paraId="5A8FAA78">
            <w:pPr>
              <w:ind w:left="0" w:leftChars="0" w:right="0" w:rightChars="0" w:firstLine="0" w:firstLineChars="0"/>
              <w:jc w:val="center"/>
              <w:rPr>
                <w:rFonts w:hint="eastAsia"/>
                <w:sz w:val="28"/>
                <w:szCs w:val="28"/>
                <w:vertAlign w:val="baseline"/>
                <w:lang w:val="en-US" w:eastAsia="zh-CN"/>
              </w:rPr>
            </w:pPr>
          </w:p>
        </w:tc>
        <w:tc>
          <w:tcPr>
            <w:tcW w:w="1665" w:type="dxa"/>
            <w:vAlign w:val="center"/>
          </w:tcPr>
          <w:p w14:paraId="1D3208E3">
            <w:pPr>
              <w:ind w:left="0" w:leftChars="0" w:right="0" w:rightChars="0" w:firstLine="0" w:firstLineChars="0"/>
              <w:jc w:val="center"/>
              <w:rPr>
                <w:rFonts w:hint="eastAsia"/>
                <w:sz w:val="28"/>
                <w:szCs w:val="28"/>
                <w:vertAlign w:val="baseline"/>
                <w:lang w:val="en-US" w:eastAsia="zh-CN"/>
              </w:rPr>
            </w:pPr>
          </w:p>
        </w:tc>
        <w:tc>
          <w:tcPr>
            <w:tcW w:w="1455" w:type="dxa"/>
            <w:vAlign w:val="center"/>
          </w:tcPr>
          <w:p w14:paraId="5507CE8A">
            <w:pPr>
              <w:ind w:left="0" w:leftChars="0" w:right="0" w:rightChars="0" w:firstLine="0" w:firstLineChars="0"/>
              <w:jc w:val="center"/>
              <w:rPr>
                <w:rFonts w:hint="eastAsia"/>
                <w:sz w:val="28"/>
                <w:szCs w:val="28"/>
                <w:vertAlign w:val="baseline"/>
                <w:lang w:val="en-US" w:eastAsia="zh-CN"/>
              </w:rPr>
            </w:pPr>
          </w:p>
        </w:tc>
        <w:tc>
          <w:tcPr>
            <w:tcW w:w="1332" w:type="dxa"/>
            <w:vAlign w:val="center"/>
          </w:tcPr>
          <w:p w14:paraId="7570123B">
            <w:pPr>
              <w:ind w:left="0" w:leftChars="0" w:right="0" w:rightChars="0" w:firstLine="0" w:firstLineChars="0"/>
              <w:jc w:val="center"/>
              <w:rPr>
                <w:rFonts w:hint="eastAsia"/>
                <w:sz w:val="28"/>
                <w:szCs w:val="28"/>
                <w:vertAlign w:val="baseline"/>
                <w:lang w:val="en-US" w:eastAsia="zh-CN"/>
              </w:rPr>
            </w:pPr>
          </w:p>
        </w:tc>
      </w:tr>
      <w:tr w14:paraId="4A835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708" w:type="dxa"/>
            <w:vAlign w:val="center"/>
          </w:tcPr>
          <w:p w14:paraId="70E00939">
            <w:pPr>
              <w:ind w:left="0" w:leftChars="0" w:right="0" w:rightChars="0" w:firstLine="0" w:firstLineChars="0"/>
              <w:jc w:val="center"/>
              <w:rPr>
                <w:sz w:val="24"/>
                <w:szCs w:val="24"/>
                <w:vertAlign w:val="baseline"/>
                <w:lang w:val="en-US" w:eastAsia="zh-CN"/>
              </w:rPr>
            </w:pPr>
            <w:r>
              <w:rPr>
                <w:rFonts w:hint="eastAsia"/>
                <w:sz w:val="24"/>
                <w:szCs w:val="24"/>
                <w:vertAlign w:val="baseline"/>
                <w:lang w:val="en-US" w:eastAsia="zh-CN"/>
              </w:rPr>
              <w:t>9</w:t>
            </w:r>
          </w:p>
        </w:tc>
        <w:tc>
          <w:tcPr>
            <w:tcW w:w="3042" w:type="dxa"/>
            <w:vAlign w:val="center"/>
          </w:tcPr>
          <w:p w14:paraId="7DDBBA6D">
            <w:pPr>
              <w:keepNext w:val="0"/>
              <w:keepLines w:val="0"/>
              <w:widowControl/>
              <w:suppressLineNumbers w:val="0"/>
              <w:jc w:val="left"/>
              <w:rPr>
                <w:rFonts w:hint="eastAsia"/>
                <w:sz w:val="24"/>
                <w:szCs w:val="24"/>
                <w:vertAlign w:val="baseline"/>
                <w:lang w:val="en-US" w:eastAsia="zh-CN"/>
              </w:rPr>
            </w:pPr>
          </w:p>
        </w:tc>
        <w:tc>
          <w:tcPr>
            <w:tcW w:w="870" w:type="dxa"/>
            <w:vAlign w:val="center"/>
          </w:tcPr>
          <w:p w14:paraId="1C7FADB8">
            <w:pPr>
              <w:ind w:left="0" w:leftChars="0" w:right="0" w:rightChars="0" w:firstLine="0" w:firstLineChars="0"/>
              <w:jc w:val="center"/>
              <w:rPr>
                <w:rFonts w:hint="eastAsia"/>
                <w:sz w:val="28"/>
                <w:szCs w:val="28"/>
                <w:vertAlign w:val="baseline"/>
                <w:lang w:val="en-US" w:eastAsia="zh-CN"/>
              </w:rPr>
            </w:pPr>
          </w:p>
        </w:tc>
        <w:tc>
          <w:tcPr>
            <w:tcW w:w="1050" w:type="dxa"/>
            <w:vAlign w:val="center"/>
          </w:tcPr>
          <w:p w14:paraId="5ADC628E">
            <w:pPr>
              <w:ind w:left="0" w:leftChars="0" w:right="0" w:rightChars="0" w:firstLine="0" w:firstLineChars="0"/>
              <w:jc w:val="center"/>
              <w:rPr>
                <w:rFonts w:hint="eastAsia"/>
                <w:sz w:val="28"/>
                <w:szCs w:val="28"/>
                <w:vertAlign w:val="baseline"/>
                <w:lang w:val="en-US" w:eastAsia="zh-CN"/>
              </w:rPr>
            </w:pPr>
          </w:p>
        </w:tc>
        <w:tc>
          <w:tcPr>
            <w:tcW w:w="1665" w:type="dxa"/>
            <w:vAlign w:val="center"/>
          </w:tcPr>
          <w:p w14:paraId="48CAF37A">
            <w:pPr>
              <w:ind w:left="0" w:leftChars="0" w:right="0" w:rightChars="0" w:firstLine="0" w:firstLineChars="0"/>
              <w:jc w:val="center"/>
              <w:rPr>
                <w:rFonts w:hint="eastAsia"/>
                <w:sz w:val="28"/>
                <w:szCs w:val="28"/>
                <w:vertAlign w:val="baseline"/>
                <w:lang w:val="en-US" w:eastAsia="zh-CN"/>
              </w:rPr>
            </w:pPr>
          </w:p>
        </w:tc>
        <w:tc>
          <w:tcPr>
            <w:tcW w:w="1455" w:type="dxa"/>
            <w:vAlign w:val="center"/>
          </w:tcPr>
          <w:p w14:paraId="5786E9BA">
            <w:pPr>
              <w:ind w:left="0" w:leftChars="0" w:right="0" w:rightChars="0" w:firstLine="0" w:firstLineChars="0"/>
              <w:jc w:val="center"/>
              <w:rPr>
                <w:rFonts w:hint="eastAsia"/>
                <w:sz w:val="28"/>
                <w:szCs w:val="28"/>
                <w:vertAlign w:val="baseline"/>
                <w:lang w:val="en-US" w:eastAsia="zh-CN"/>
              </w:rPr>
            </w:pPr>
          </w:p>
        </w:tc>
        <w:tc>
          <w:tcPr>
            <w:tcW w:w="1332" w:type="dxa"/>
            <w:vAlign w:val="center"/>
          </w:tcPr>
          <w:p w14:paraId="5C6BE973">
            <w:pPr>
              <w:ind w:left="0" w:leftChars="0" w:right="0" w:rightChars="0" w:firstLine="0" w:firstLineChars="0"/>
              <w:jc w:val="center"/>
              <w:rPr>
                <w:rFonts w:hint="eastAsia"/>
                <w:sz w:val="28"/>
                <w:szCs w:val="28"/>
                <w:vertAlign w:val="baseline"/>
                <w:lang w:val="en-US" w:eastAsia="zh-CN"/>
              </w:rPr>
            </w:pPr>
          </w:p>
        </w:tc>
      </w:tr>
      <w:tr w14:paraId="08253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exact"/>
        </w:trPr>
        <w:tc>
          <w:tcPr>
            <w:tcW w:w="708" w:type="dxa"/>
            <w:vAlign w:val="center"/>
          </w:tcPr>
          <w:p w14:paraId="6B2A3482">
            <w:pPr>
              <w:ind w:left="0" w:leftChars="0" w:right="0" w:rightChars="0" w:firstLine="0" w:firstLineChars="0"/>
              <w:jc w:val="center"/>
              <w:rPr>
                <w:sz w:val="24"/>
                <w:szCs w:val="24"/>
                <w:vertAlign w:val="baseline"/>
                <w:lang w:val="en-US" w:eastAsia="zh-CN"/>
              </w:rPr>
            </w:pPr>
            <w:r>
              <w:rPr>
                <w:rFonts w:hint="eastAsia"/>
                <w:sz w:val="24"/>
                <w:szCs w:val="24"/>
                <w:vertAlign w:val="baseline"/>
                <w:lang w:val="en-US" w:eastAsia="zh-CN"/>
              </w:rPr>
              <w:t>10</w:t>
            </w:r>
          </w:p>
        </w:tc>
        <w:tc>
          <w:tcPr>
            <w:tcW w:w="3042" w:type="dxa"/>
            <w:vAlign w:val="center"/>
          </w:tcPr>
          <w:p w14:paraId="67A4ED77">
            <w:pPr>
              <w:keepNext w:val="0"/>
              <w:keepLines w:val="0"/>
              <w:widowControl/>
              <w:suppressLineNumbers w:val="0"/>
              <w:jc w:val="left"/>
              <w:rPr>
                <w:rFonts w:hint="eastAsia"/>
                <w:sz w:val="24"/>
                <w:szCs w:val="24"/>
                <w:vertAlign w:val="baseline"/>
                <w:lang w:val="en-US" w:eastAsia="zh-CN"/>
              </w:rPr>
            </w:pPr>
          </w:p>
        </w:tc>
        <w:tc>
          <w:tcPr>
            <w:tcW w:w="870" w:type="dxa"/>
            <w:vAlign w:val="center"/>
          </w:tcPr>
          <w:p w14:paraId="1E9BEEAB">
            <w:pPr>
              <w:ind w:left="0" w:leftChars="0" w:right="0" w:rightChars="0" w:firstLine="0" w:firstLineChars="0"/>
              <w:jc w:val="center"/>
              <w:rPr>
                <w:rFonts w:hint="eastAsia"/>
                <w:sz w:val="28"/>
                <w:szCs w:val="28"/>
                <w:vertAlign w:val="baseline"/>
                <w:lang w:val="en-US" w:eastAsia="zh-CN"/>
              </w:rPr>
            </w:pPr>
          </w:p>
        </w:tc>
        <w:tc>
          <w:tcPr>
            <w:tcW w:w="1050" w:type="dxa"/>
            <w:vAlign w:val="center"/>
          </w:tcPr>
          <w:p w14:paraId="5DD012ED">
            <w:pPr>
              <w:ind w:left="0" w:leftChars="0" w:right="0" w:rightChars="0" w:firstLine="0" w:firstLineChars="0"/>
              <w:jc w:val="center"/>
              <w:rPr>
                <w:rFonts w:hint="eastAsia"/>
                <w:sz w:val="28"/>
                <w:szCs w:val="28"/>
                <w:vertAlign w:val="baseline"/>
                <w:lang w:val="en-US" w:eastAsia="zh-CN"/>
              </w:rPr>
            </w:pPr>
          </w:p>
        </w:tc>
        <w:tc>
          <w:tcPr>
            <w:tcW w:w="1665" w:type="dxa"/>
            <w:vAlign w:val="center"/>
          </w:tcPr>
          <w:p w14:paraId="64564260">
            <w:pPr>
              <w:ind w:left="0" w:leftChars="0" w:right="0" w:rightChars="0" w:firstLine="0" w:firstLineChars="0"/>
              <w:jc w:val="center"/>
              <w:rPr>
                <w:rFonts w:hint="eastAsia"/>
                <w:sz w:val="28"/>
                <w:szCs w:val="28"/>
                <w:vertAlign w:val="baseline"/>
                <w:lang w:val="en-US" w:eastAsia="zh-CN"/>
              </w:rPr>
            </w:pPr>
          </w:p>
        </w:tc>
        <w:tc>
          <w:tcPr>
            <w:tcW w:w="1455" w:type="dxa"/>
            <w:vAlign w:val="center"/>
          </w:tcPr>
          <w:p w14:paraId="5F6B061A">
            <w:pPr>
              <w:ind w:left="0" w:leftChars="0" w:right="0" w:rightChars="0" w:firstLine="0" w:firstLineChars="0"/>
              <w:jc w:val="center"/>
              <w:rPr>
                <w:rFonts w:hint="eastAsia"/>
                <w:sz w:val="28"/>
                <w:szCs w:val="28"/>
                <w:vertAlign w:val="baseline"/>
                <w:lang w:val="en-US" w:eastAsia="zh-CN"/>
              </w:rPr>
            </w:pPr>
          </w:p>
        </w:tc>
        <w:tc>
          <w:tcPr>
            <w:tcW w:w="1332" w:type="dxa"/>
            <w:vAlign w:val="center"/>
          </w:tcPr>
          <w:p w14:paraId="2F530E64">
            <w:pPr>
              <w:ind w:left="0" w:leftChars="0" w:right="0" w:rightChars="0" w:firstLine="0" w:firstLineChars="0"/>
              <w:jc w:val="center"/>
              <w:rPr>
                <w:rFonts w:hint="eastAsia"/>
                <w:sz w:val="28"/>
                <w:szCs w:val="28"/>
                <w:vertAlign w:val="baseline"/>
                <w:lang w:val="en-US" w:eastAsia="zh-CN"/>
              </w:rPr>
            </w:pPr>
          </w:p>
        </w:tc>
      </w:tr>
    </w:tbl>
    <w:p w14:paraId="751F3AA8">
      <w:pPr>
        <w:spacing w:line="460" w:lineRule="exact"/>
        <w:rPr>
          <w:rFonts w:hint="eastAsia" w:ascii="仿宋_GB2312" w:hAnsi="仿宋_GB2312" w:eastAsia="仿宋_GB2312" w:cs="仿宋_GB2312"/>
          <w:sz w:val="32"/>
          <w:szCs w:val="32"/>
          <w:lang w:val="en-US" w:eastAsia="zh-CN"/>
        </w:rPr>
      </w:pPr>
    </w:p>
    <w:p w14:paraId="4F053138">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评标办法：按报价由低至高，“湖北日报传媒集团2025-2027年度资产评估服务供应商库</w:t>
      </w:r>
      <w:r>
        <w:rPr>
          <w:rFonts w:hint="eastAsia" w:ascii="仿宋_GB2312" w:hAnsi="仿宋_GB2312" w:eastAsia="仿宋_GB2312" w:cs="仿宋_GB2312"/>
          <w:sz w:val="28"/>
          <w:szCs w:val="28"/>
          <w:lang w:val="hr-HR" w:eastAsia="zh-CN"/>
        </w:rPr>
        <w:t>”</w:t>
      </w:r>
      <w:r>
        <w:rPr>
          <w:rFonts w:hint="eastAsia" w:ascii="仿宋_GB2312" w:hAnsi="仿宋_GB2312" w:eastAsia="仿宋_GB2312" w:cs="仿宋_GB2312"/>
          <w:sz w:val="28"/>
          <w:szCs w:val="28"/>
          <w:lang w:val="en-US" w:eastAsia="zh-CN"/>
        </w:rPr>
        <w:t>项目组集体决议选取前10名为入库单位。</w:t>
      </w:r>
    </w:p>
    <w:p w14:paraId="60F1C87B">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备注：项目费率的报价以省物价局、省财政厅2011年3月14日发布的《湖北省资产评估机构法定业务服务收费标准》为基准。</w:t>
      </w:r>
    </w:p>
    <w:p w14:paraId="594678DA">
      <w:pPr>
        <w:spacing w:line="460" w:lineRule="exact"/>
        <w:rPr>
          <w:rFonts w:ascii="仿宋_GB2312" w:hAnsi="仿宋_GB2312" w:eastAsia="仿宋_GB2312" w:cs="仿宋_GB2312"/>
          <w:sz w:val="32"/>
          <w:szCs w:val="32"/>
        </w:rPr>
      </w:pPr>
    </w:p>
    <w:p w14:paraId="70453541">
      <w:pPr>
        <w:spacing w:line="460" w:lineRule="exact"/>
        <w:rPr>
          <w:rFonts w:ascii="仿宋_GB2312" w:hAnsi="仿宋_GB2312" w:eastAsia="仿宋_GB2312" w:cs="仿宋_GB2312"/>
          <w:sz w:val="32"/>
          <w:szCs w:val="32"/>
        </w:rPr>
      </w:pPr>
    </w:p>
    <w:p w14:paraId="13F20313">
      <w:pPr>
        <w:spacing w:line="460" w:lineRule="exact"/>
        <w:rPr>
          <w:rFonts w:ascii="仿宋_GB2312" w:hAnsi="仿宋_GB2312" w:eastAsia="仿宋_GB2312" w:cs="仿宋_GB2312"/>
          <w:sz w:val="32"/>
          <w:szCs w:val="32"/>
        </w:rPr>
      </w:pPr>
    </w:p>
    <w:p w14:paraId="4D661318">
      <w:pPr>
        <w:spacing w:line="360" w:lineRule="auto"/>
        <w:rPr>
          <w:rFonts w:eastAsia="仿宋_GB2312"/>
          <w:sz w:val="28"/>
        </w:rPr>
      </w:pPr>
    </w:p>
    <w:p w14:paraId="5089B684">
      <w:pPr>
        <w:spacing w:line="360" w:lineRule="auto"/>
        <w:rPr>
          <w:rFonts w:eastAsia="仿宋_GB2312"/>
          <w:sz w:val="28"/>
        </w:rPr>
      </w:pPr>
    </w:p>
    <w:p w14:paraId="6B5AEA48">
      <w:pPr>
        <w:spacing w:line="360" w:lineRule="auto"/>
        <w:jc w:val="center"/>
        <w:rPr>
          <w:rFonts w:eastAsia="小标宋"/>
          <w:b/>
          <w:spacing w:val="100"/>
          <w:sz w:val="52"/>
        </w:rPr>
      </w:pPr>
      <w:r>
        <w:rPr>
          <w:rFonts w:hint="eastAsia" w:eastAsia="小标宋"/>
          <w:b/>
          <w:spacing w:val="100"/>
          <w:sz w:val="52"/>
        </w:rPr>
        <w:t>资产评估服务框架协议</w:t>
      </w:r>
    </w:p>
    <w:p w14:paraId="0700C53B">
      <w:pPr>
        <w:spacing w:line="360" w:lineRule="auto"/>
        <w:jc w:val="center"/>
        <w:rPr>
          <w:rFonts w:hint="eastAsia" w:eastAsia="仿宋_GB2312"/>
          <w:sz w:val="28"/>
        </w:rPr>
      </w:pPr>
      <w:r>
        <w:rPr>
          <w:rFonts w:hint="eastAsia" w:eastAsia="仿宋_GB2312"/>
          <w:sz w:val="28"/>
        </w:rPr>
        <w:t>（合同编号：</w:t>
      </w:r>
      <w:r>
        <w:rPr>
          <w:rFonts w:hint="eastAsia" w:eastAsia="仿宋_GB2312"/>
          <w:sz w:val="28"/>
          <w:szCs w:val="22"/>
        </w:rPr>
        <w:t>ZHBGW202</w:t>
      </w:r>
      <w:r>
        <w:rPr>
          <w:rFonts w:hint="eastAsia" w:eastAsia="仿宋_GB2312"/>
          <w:sz w:val="28"/>
          <w:szCs w:val="22"/>
          <w:lang w:val="en-US" w:eastAsia="zh-CN"/>
        </w:rPr>
        <w:t>5</w:t>
      </w:r>
      <w:r>
        <w:rPr>
          <w:rFonts w:hint="eastAsia" w:eastAsia="仿宋_GB2312"/>
          <w:sz w:val="28"/>
          <w:szCs w:val="22"/>
        </w:rPr>
        <w:t>03-0</w:t>
      </w:r>
      <w:r>
        <w:rPr>
          <w:rFonts w:hint="eastAsia" w:eastAsia="仿宋_GB2312"/>
          <w:sz w:val="28"/>
          <w:szCs w:val="22"/>
          <w:lang w:val="en-US" w:eastAsia="zh-CN"/>
        </w:rPr>
        <w:t>2</w:t>
      </w:r>
      <w:r>
        <w:rPr>
          <w:rFonts w:hint="eastAsia" w:eastAsia="仿宋_GB2312"/>
          <w:sz w:val="28"/>
        </w:rPr>
        <w:t>）</w:t>
      </w:r>
    </w:p>
    <w:p w14:paraId="2E35C2E8">
      <w:pPr>
        <w:spacing w:line="360" w:lineRule="auto"/>
        <w:rPr>
          <w:rFonts w:eastAsia="仿宋_GB2312"/>
          <w:sz w:val="28"/>
        </w:rPr>
      </w:pPr>
    </w:p>
    <w:p w14:paraId="54908B9D">
      <w:pPr>
        <w:spacing w:line="360" w:lineRule="auto"/>
        <w:rPr>
          <w:rFonts w:eastAsia="仿宋_GB2312"/>
          <w:sz w:val="28"/>
        </w:rPr>
      </w:pPr>
    </w:p>
    <w:p w14:paraId="572E1E89">
      <w:pPr>
        <w:spacing w:line="360" w:lineRule="auto"/>
        <w:rPr>
          <w:rFonts w:eastAsia="仿宋_GB2312"/>
          <w:sz w:val="28"/>
        </w:rPr>
      </w:pPr>
    </w:p>
    <w:p w14:paraId="42B6C4D8">
      <w:pPr>
        <w:spacing w:line="360" w:lineRule="auto"/>
        <w:rPr>
          <w:rFonts w:eastAsia="仿宋_GB2312"/>
          <w:sz w:val="28"/>
        </w:rPr>
      </w:pPr>
    </w:p>
    <w:p w14:paraId="42D19AB6">
      <w:pPr>
        <w:spacing w:line="360" w:lineRule="auto"/>
        <w:rPr>
          <w:rFonts w:eastAsia="仿宋_GB2312"/>
          <w:sz w:val="28"/>
        </w:rPr>
      </w:pPr>
    </w:p>
    <w:p w14:paraId="4EBB707B">
      <w:pPr>
        <w:spacing w:line="360" w:lineRule="auto"/>
        <w:rPr>
          <w:rFonts w:eastAsia="仿宋_GB2312"/>
          <w:sz w:val="28"/>
        </w:rPr>
      </w:pPr>
    </w:p>
    <w:p w14:paraId="002CD7BB">
      <w:pPr>
        <w:spacing w:line="360" w:lineRule="auto"/>
        <w:rPr>
          <w:rFonts w:eastAsia="仿宋_GB2312"/>
          <w:sz w:val="10"/>
        </w:rPr>
      </w:pPr>
    </w:p>
    <w:p w14:paraId="118F2B46">
      <w:pPr>
        <w:spacing w:line="360" w:lineRule="auto"/>
        <w:rPr>
          <w:rFonts w:eastAsia="仿宋_GB2312"/>
          <w:sz w:val="10"/>
        </w:rPr>
      </w:pPr>
    </w:p>
    <w:p w14:paraId="2250ACC5">
      <w:pPr>
        <w:spacing w:line="360" w:lineRule="auto"/>
        <w:rPr>
          <w:rFonts w:eastAsia="仿宋_GB2312"/>
          <w:sz w:val="10"/>
        </w:rPr>
      </w:pPr>
    </w:p>
    <w:p w14:paraId="6729CB9D">
      <w:pPr>
        <w:spacing w:line="360" w:lineRule="auto"/>
        <w:rPr>
          <w:rFonts w:eastAsia="仿宋_GB2312"/>
          <w:sz w:val="10"/>
        </w:rPr>
      </w:pPr>
    </w:p>
    <w:p w14:paraId="580C5476">
      <w:pPr>
        <w:spacing w:line="360" w:lineRule="auto"/>
        <w:jc w:val="left"/>
        <w:rPr>
          <w:rFonts w:eastAsia="仿宋_GB2312"/>
          <w:b/>
          <w:sz w:val="30"/>
          <w:szCs w:val="30"/>
          <w:lang w:val="en-US" w:eastAsia="zh-CN"/>
        </w:rPr>
      </w:pPr>
      <w:r>
        <w:rPr>
          <w:rFonts w:hint="eastAsia" w:eastAsia="仿宋_GB2312"/>
          <w:b/>
          <w:sz w:val="30"/>
          <w:szCs w:val="30"/>
        </w:rPr>
        <w:t xml:space="preserve">      项 目 名 称：湖北日报传媒集团资产评估服务供应商</w:t>
      </w:r>
      <w:r>
        <w:rPr>
          <w:rFonts w:hint="eastAsia" w:eastAsia="仿宋_GB2312"/>
          <w:b/>
          <w:sz w:val="30"/>
          <w:szCs w:val="30"/>
          <w:lang w:val="en-US" w:eastAsia="zh-CN"/>
        </w:rPr>
        <w:t>入库</w:t>
      </w:r>
    </w:p>
    <w:p w14:paraId="759EA6E1">
      <w:pPr>
        <w:spacing w:line="360" w:lineRule="auto"/>
        <w:ind w:firstLine="904" w:firstLineChars="300"/>
        <w:rPr>
          <w:rFonts w:eastAsia="仿宋_GB2312"/>
          <w:b/>
          <w:sz w:val="30"/>
          <w:szCs w:val="30"/>
        </w:rPr>
      </w:pPr>
      <w:r>
        <w:rPr>
          <w:rFonts w:hint="eastAsia" w:eastAsia="仿宋_GB2312"/>
          <w:b/>
          <w:sz w:val="30"/>
          <w:szCs w:val="30"/>
        </w:rPr>
        <w:t>委托方(甲方)：湖北日报传媒集团</w:t>
      </w:r>
    </w:p>
    <w:p w14:paraId="01EBB51D">
      <w:pPr>
        <w:spacing w:line="360" w:lineRule="auto"/>
        <w:ind w:firstLine="904" w:firstLineChars="300"/>
        <w:rPr>
          <w:rFonts w:hint="eastAsia" w:eastAsia="仿宋_GB2312"/>
          <w:b/>
          <w:sz w:val="30"/>
          <w:szCs w:val="30"/>
        </w:rPr>
      </w:pPr>
      <w:r>
        <w:rPr>
          <w:rFonts w:hint="eastAsia" w:eastAsia="仿宋_GB2312"/>
          <w:b/>
          <w:sz w:val="30"/>
          <w:szCs w:val="30"/>
        </w:rPr>
        <w:t>受托方(乙方)：</w:t>
      </w:r>
    </w:p>
    <w:p w14:paraId="3D397296">
      <w:pPr>
        <w:spacing w:line="360" w:lineRule="auto"/>
        <w:rPr>
          <w:rFonts w:eastAsia="仿宋_GB2312"/>
          <w:b/>
          <w:sz w:val="30"/>
        </w:rPr>
      </w:pPr>
    </w:p>
    <w:p w14:paraId="0F11AFCA">
      <w:pPr>
        <w:spacing w:line="360" w:lineRule="auto"/>
        <w:rPr>
          <w:rFonts w:eastAsia="仿宋_GB2312"/>
          <w:b/>
          <w:sz w:val="30"/>
        </w:rPr>
      </w:pPr>
    </w:p>
    <w:p w14:paraId="5EB80074">
      <w:pPr>
        <w:spacing w:line="360" w:lineRule="auto"/>
        <w:jc w:val="center"/>
        <w:rPr>
          <w:rFonts w:hint="eastAsia" w:eastAsia="仿宋_GB2312"/>
          <w:b/>
          <w:sz w:val="30"/>
        </w:rPr>
      </w:pPr>
      <w:r>
        <w:rPr>
          <w:rFonts w:hint="eastAsia" w:eastAsia="仿宋_GB2312"/>
          <w:b/>
          <w:sz w:val="30"/>
        </w:rPr>
        <w:t>二○二</w:t>
      </w:r>
      <w:r>
        <w:rPr>
          <w:rFonts w:hint="eastAsia" w:eastAsia="仿宋_GB2312"/>
          <w:b/>
          <w:sz w:val="30"/>
          <w:lang w:val="en-US" w:eastAsia="zh-CN"/>
        </w:rPr>
        <w:t>五</w:t>
      </w:r>
      <w:r>
        <w:rPr>
          <w:rFonts w:hint="eastAsia" w:eastAsia="仿宋_GB2312"/>
          <w:b/>
          <w:sz w:val="30"/>
        </w:rPr>
        <w:t>年</w:t>
      </w:r>
      <w:r>
        <w:rPr>
          <w:rFonts w:hint="eastAsia" w:eastAsia="仿宋_GB2312"/>
          <w:b/>
          <w:sz w:val="30"/>
          <w:lang w:val="en-US" w:eastAsia="zh-CN"/>
        </w:rPr>
        <w:t>二</w:t>
      </w:r>
      <w:r>
        <w:rPr>
          <w:rFonts w:hint="eastAsia" w:eastAsia="仿宋_GB2312"/>
          <w:b/>
          <w:sz w:val="30"/>
        </w:rPr>
        <w:t>月</w:t>
      </w:r>
    </w:p>
    <w:p w14:paraId="1CE0E847">
      <w:pPr>
        <w:spacing w:line="480" w:lineRule="exact"/>
        <w:jc w:val="center"/>
        <w:rPr>
          <w:rFonts w:hint="eastAsia" w:eastAsia="仿宋_GB2312"/>
          <w:b/>
          <w:sz w:val="30"/>
        </w:rPr>
      </w:pPr>
    </w:p>
    <w:p w14:paraId="1B08A496">
      <w:pPr>
        <w:spacing w:line="480" w:lineRule="exact"/>
        <w:jc w:val="center"/>
        <w:rPr>
          <w:rFonts w:hint="eastAsia" w:eastAsia="仿宋_GB2312"/>
          <w:b/>
          <w:sz w:val="30"/>
        </w:rPr>
      </w:pPr>
    </w:p>
    <w:p w14:paraId="1D3F58EA">
      <w:pPr>
        <w:spacing w:line="480" w:lineRule="exact"/>
        <w:ind w:firstLine="567"/>
        <w:rPr>
          <w:rFonts w:hint="eastAsia" w:eastAsia="仿宋_GB2312"/>
          <w:sz w:val="28"/>
          <w:u w:val="none"/>
          <w:lang w:val="en-US" w:eastAsia="zh-CN"/>
        </w:rPr>
      </w:pPr>
      <w:r>
        <w:rPr>
          <w:rFonts w:hint="eastAsia" w:eastAsia="仿宋_GB2312"/>
          <w:sz w:val="28"/>
        </w:rPr>
        <w:t>根据中国资产评估协会《资产评估业务约定书》指南和国家有关资产评估收费与支付管理办法，湖北日报传媒集团 (以下简称甲方)与</w:t>
      </w:r>
      <w:r>
        <w:rPr>
          <w:rFonts w:hint="eastAsia" w:eastAsia="仿宋_GB2312"/>
          <w:sz w:val="28"/>
          <w:u w:val="none"/>
          <w:lang w:val="en-US" w:eastAsia="zh-CN"/>
        </w:rPr>
        <w:t xml:space="preserve">    </w:t>
      </w:r>
    </w:p>
    <w:p w14:paraId="2AC23EC1">
      <w:pPr>
        <w:spacing w:line="480" w:lineRule="exact"/>
        <w:ind w:firstLine="3550" w:firstLineChars="1268"/>
        <w:rPr>
          <w:rFonts w:eastAsia="仿宋_GB2312"/>
          <w:sz w:val="28"/>
        </w:rPr>
      </w:pPr>
      <w:r>
        <w:rPr>
          <w:rFonts w:hint="eastAsia" w:eastAsia="仿宋_GB2312"/>
          <w:sz w:val="28"/>
        </w:rPr>
        <w:t>(以下简称乙方)经友好协商，就湖北日报传媒集团资产评估服务的有关事宜约定如下：</w:t>
      </w:r>
    </w:p>
    <w:p w14:paraId="1C7D2247">
      <w:pPr>
        <w:spacing w:line="480" w:lineRule="exact"/>
        <w:ind w:firstLine="567"/>
        <w:rPr>
          <w:rFonts w:eastAsia="仿宋_GB2312"/>
          <w:b/>
          <w:sz w:val="10"/>
        </w:rPr>
      </w:pPr>
    </w:p>
    <w:p w14:paraId="6260F067">
      <w:pPr>
        <w:spacing w:line="480" w:lineRule="exact"/>
        <w:ind w:firstLine="567"/>
        <w:outlineLvl w:val="0"/>
        <w:rPr>
          <w:rFonts w:eastAsia="仿宋_GB2312"/>
          <w:b/>
          <w:sz w:val="28"/>
        </w:rPr>
      </w:pPr>
      <w:r>
        <w:rPr>
          <w:rFonts w:hint="eastAsia" w:eastAsia="仿宋_GB2312"/>
          <w:b/>
          <w:sz w:val="28"/>
        </w:rPr>
        <w:t>一、签约双方</w:t>
      </w:r>
    </w:p>
    <w:p w14:paraId="3C8848AB">
      <w:pPr>
        <w:spacing w:line="480" w:lineRule="exact"/>
        <w:ind w:firstLine="567"/>
        <w:rPr>
          <w:rFonts w:hint="eastAsia" w:eastAsia="仿宋_GB2312"/>
          <w:b/>
          <w:bCs/>
          <w:sz w:val="28"/>
        </w:rPr>
      </w:pPr>
      <w:r>
        <w:rPr>
          <w:rFonts w:hint="eastAsia" w:eastAsia="仿宋_GB2312"/>
          <w:b/>
          <w:sz w:val="28"/>
        </w:rPr>
        <w:t>甲方：</w:t>
      </w:r>
      <w:r>
        <w:rPr>
          <w:rFonts w:hint="eastAsia" w:eastAsia="仿宋_GB2312"/>
          <w:b/>
          <w:bCs/>
          <w:sz w:val="28"/>
        </w:rPr>
        <w:t>湖北日报传媒集团</w:t>
      </w:r>
    </w:p>
    <w:p w14:paraId="22657244">
      <w:pPr>
        <w:spacing w:line="480" w:lineRule="exact"/>
        <w:ind w:firstLine="567"/>
        <w:rPr>
          <w:rFonts w:eastAsia="仿宋_GB2312"/>
          <w:bCs/>
          <w:sz w:val="28"/>
        </w:rPr>
      </w:pPr>
      <w:r>
        <w:rPr>
          <w:rFonts w:hint="eastAsia" w:eastAsia="仿宋_GB2312"/>
          <w:bCs/>
          <w:sz w:val="28"/>
        </w:rPr>
        <w:t>法定代表人：</w:t>
      </w:r>
    </w:p>
    <w:p w14:paraId="2E1E6FC2">
      <w:pPr>
        <w:spacing w:line="480" w:lineRule="exact"/>
        <w:ind w:firstLine="567"/>
        <w:rPr>
          <w:rFonts w:eastAsia="仿宋_GB2312"/>
          <w:bCs/>
          <w:sz w:val="28"/>
        </w:rPr>
      </w:pPr>
      <w:r>
        <w:rPr>
          <w:rFonts w:hint="eastAsia" w:eastAsia="仿宋_GB2312"/>
          <w:bCs/>
          <w:sz w:val="28"/>
        </w:rPr>
        <w:t>住所：</w:t>
      </w:r>
    </w:p>
    <w:p w14:paraId="5ABC042A">
      <w:pPr>
        <w:spacing w:line="480" w:lineRule="exact"/>
        <w:ind w:firstLine="567"/>
        <w:rPr>
          <w:rFonts w:eastAsia="仿宋_GB2312"/>
          <w:bCs/>
          <w:sz w:val="28"/>
        </w:rPr>
      </w:pPr>
      <w:r>
        <w:rPr>
          <w:rFonts w:hint="eastAsia" w:eastAsia="仿宋_GB2312"/>
          <w:bCs/>
          <w:sz w:val="28"/>
        </w:rPr>
        <w:t>邮编：</w:t>
      </w:r>
    </w:p>
    <w:p w14:paraId="2A89E3C0">
      <w:pPr>
        <w:spacing w:line="480" w:lineRule="exact"/>
        <w:ind w:firstLine="567"/>
        <w:rPr>
          <w:rFonts w:hint="eastAsia" w:eastAsia="仿宋_GB2312"/>
          <w:b/>
          <w:sz w:val="30"/>
          <w:szCs w:val="30"/>
        </w:rPr>
      </w:pPr>
      <w:r>
        <w:rPr>
          <w:rFonts w:hint="eastAsia" w:eastAsia="仿宋_GB2312"/>
          <w:b/>
          <w:bCs/>
          <w:sz w:val="28"/>
        </w:rPr>
        <w:t>乙方：</w:t>
      </w:r>
    </w:p>
    <w:p w14:paraId="08227237">
      <w:pPr>
        <w:spacing w:line="480" w:lineRule="exact"/>
        <w:ind w:firstLine="567"/>
        <w:rPr>
          <w:rFonts w:eastAsia="仿宋_GB2312"/>
          <w:bCs/>
          <w:sz w:val="28"/>
        </w:rPr>
      </w:pPr>
      <w:r>
        <w:rPr>
          <w:rFonts w:hint="eastAsia" w:eastAsia="仿宋_GB2312"/>
          <w:bCs/>
          <w:sz w:val="28"/>
        </w:rPr>
        <w:t>法定代表人：</w:t>
      </w:r>
    </w:p>
    <w:p w14:paraId="796DC7E6">
      <w:pPr>
        <w:spacing w:line="480" w:lineRule="exact"/>
        <w:ind w:firstLine="567"/>
        <w:rPr>
          <w:rFonts w:hint="eastAsia" w:eastAsia="仿宋_GB2312"/>
          <w:bCs/>
          <w:sz w:val="28"/>
        </w:rPr>
      </w:pPr>
      <w:r>
        <w:rPr>
          <w:rFonts w:hint="eastAsia" w:eastAsia="仿宋_GB2312"/>
          <w:bCs/>
          <w:sz w:val="28"/>
        </w:rPr>
        <w:t>住所：</w:t>
      </w:r>
    </w:p>
    <w:p w14:paraId="6B64F1A0">
      <w:pPr>
        <w:spacing w:line="480" w:lineRule="exact"/>
        <w:ind w:firstLine="567"/>
        <w:rPr>
          <w:rFonts w:eastAsia="仿宋_GB2312"/>
          <w:bCs/>
          <w:sz w:val="28"/>
        </w:rPr>
      </w:pPr>
      <w:r>
        <w:rPr>
          <w:rFonts w:hint="eastAsia" w:eastAsia="仿宋_GB2312"/>
          <w:bCs/>
          <w:sz w:val="28"/>
        </w:rPr>
        <w:t>邮编：</w:t>
      </w:r>
    </w:p>
    <w:p w14:paraId="1491E9A7">
      <w:pPr>
        <w:spacing w:line="480" w:lineRule="exact"/>
        <w:ind w:firstLine="567"/>
        <w:rPr>
          <w:rFonts w:eastAsia="仿宋_GB2312"/>
          <w:b/>
          <w:sz w:val="10"/>
        </w:rPr>
      </w:pPr>
    </w:p>
    <w:p w14:paraId="3209FB7A">
      <w:pPr>
        <w:spacing w:line="480" w:lineRule="exact"/>
        <w:ind w:firstLine="567"/>
        <w:outlineLvl w:val="0"/>
        <w:rPr>
          <w:rFonts w:eastAsia="仿宋_GB2312"/>
          <w:b/>
          <w:sz w:val="28"/>
        </w:rPr>
      </w:pPr>
      <w:r>
        <w:rPr>
          <w:rFonts w:hint="eastAsia" w:eastAsia="仿宋_GB2312"/>
          <w:b/>
          <w:sz w:val="28"/>
        </w:rPr>
        <w:t>二、委托资产评估业务内容和要求</w:t>
      </w:r>
    </w:p>
    <w:p w14:paraId="07280A65">
      <w:pPr>
        <w:spacing w:line="480" w:lineRule="exact"/>
        <w:ind w:firstLine="567"/>
        <w:rPr>
          <w:rFonts w:hint="eastAsia" w:eastAsia="仿宋_GB2312"/>
          <w:sz w:val="28"/>
        </w:rPr>
      </w:pPr>
      <w:r>
        <w:rPr>
          <w:rFonts w:hint="eastAsia" w:eastAsia="仿宋_GB2312"/>
          <w:sz w:val="28"/>
        </w:rPr>
        <w:t>1、评估范围：202</w:t>
      </w:r>
      <w:r>
        <w:rPr>
          <w:rFonts w:hint="eastAsia" w:eastAsia="仿宋_GB2312"/>
          <w:sz w:val="28"/>
          <w:lang w:val="en-US" w:eastAsia="zh-CN"/>
        </w:rPr>
        <w:t>5</w:t>
      </w:r>
      <w:r>
        <w:rPr>
          <w:rFonts w:hint="eastAsia" w:eastAsia="仿宋_GB2312"/>
          <w:sz w:val="28"/>
        </w:rPr>
        <w:t>年3月16日至202</w:t>
      </w:r>
      <w:r>
        <w:rPr>
          <w:rFonts w:hint="eastAsia" w:eastAsia="仿宋_GB2312"/>
          <w:sz w:val="28"/>
          <w:lang w:val="en-US" w:eastAsia="zh-CN"/>
        </w:rPr>
        <w:t>7</w:t>
      </w:r>
      <w:r>
        <w:rPr>
          <w:rFonts w:hint="eastAsia" w:eastAsia="仿宋_GB2312"/>
          <w:sz w:val="28"/>
        </w:rPr>
        <w:t>年3月15日根据湖北日报传媒集团委托具体事项确定评估范围（见协议第七条、评估服务期限）。</w:t>
      </w:r>
    </w:p>
    <w:p w14:paraId="4148B4BA">
      <w:pPr>
        <w:tabs>
          <w:tab w:val="left" w:pos="840"/>
        </w:tabs>
        <w:spacing w:line="480" w:lineRule="exact"/>
        <w:ind w:firstLine="567"/>
        <w:rPr>
          <w:rFonts w:eastAsia="仿宋_GB2312"/>
          <w:sz w:val="28"/>
        </w:rPr>
      </w:pPr>
      <w:r>
        <w:rPr>
          <w:rFonts w:hint="eastAsia" w:eastAsia="仿宋_GB2312"/>
          <w:sz w:val="28"/>
        </w:rPr>
        <w:t>2、出具资产评估报告的方式及日期：资产评估报告中文标准文本。</w:t>
      </w:r>
    </w:p>
    <w:p w14:paraId="4E142CC6">
      <w:pPr>
        <w:spacing w:line="480" w:lineRule="exact"/>
        <w:ind w:firstLine="560" w:firstLineChars="200"/>
        <w:rPr>
          <w:rFonts w:eastAsia="仿宋_GB2312"/>
          <w:sz w:val="28"/>
        </w:rPr>
      </w:pPr>
      <w:r>
        <w:rPr>
          <w:rFonts w:hint="eastAsia" w:eastAsia="仿宋_GB2312"/>
          <w:sz w:val="28"/>
          <w:u w:val="single"/>
        </w:rPr>
        <w:t>报告出具日期：正式报告出具前，乙方先期对甲方项目做出预估报告，预估报告出具时间为甲方委托后</w:t>
      </w:r>
      <w:r>
        <w:rPr>
          <w:rFonts w:hint="eastAsia" w:eastAsia="仿宋_GB2312"/>
          <w:sz w:val="28"/>
          <w:u w:val="single"/>
          <w:lang w:val="en-US" w:eastAsia="zh-CN"/>
        </w:rPr>
        <w:t>三</w:t>
      </w:r>
      <w:r>
        <w:rPr>
          <w:rFonts w:hint="eastAsia" w:eastAsia="仿宋_GB2312"/>
          <w:sz w:val="28"/>
          <w:u w:val="single"/>
        </w:rPr>
        <w:t>日内；待相应正式</w:t>
      </w:r>
      <w:r>
        <w:rPr>
          <w:rFonts w:hint="eastAsia" w:eastAsia="仿宋_GB2312"/>
          <w:sz w:val="28"/>
          <w:u w:val="single"/>
          <w:lang w:val="en-US" w:eastAsia="zh-CN"/>
        </w:rPr>
        <w:t>评估</w:t>
      </w:r>
      <w:r>
        <w:rPr>
          <w:rFonts w:hint="eastAsia" w:eastAsia="仿宋_GB2312"/>
          <w:sz w:val="28"/>
          <w:u w:val="single"/>
        </w:rPr>
        <w:t>报告出具或甲方正式通知出具正式报告后</w:t>
      </w:r>
      <w:r>
        <w:rPr>
          <w:rFonts w:hint="eastAsia" w:eastAsia="仿宋_GB2312"/>
          <w:sz w:val="28"/>
          <w:u w:val="single"/>
          <w:lang w:val="en-US" w:eastAsia="zh-CN"/>
        </w:rPr>
        <w:t>七</w:t>
      </w:r>
      <w:r>
        <w:rPr>
          <w:rFonts w:hint="eastAsia" w:eastAsia="仿宋_GB2312"/>
          <w:sz w:val="28"/>
          <w:u w:val="single"/>
        </w:rPr>
        <w:t>日内出具。</w:t>
      </w:r>
    </w:p>
    <w:p w14:paraId="13520890">
      <w:pPr>
        <w:spacing w:line="480" w:lineRule="exact"/>
        <w:ind w:firstLine="567"/>
        <w:rPr>
          <w:rFonts w:eastAsia="仿宋_GB2312"/>
          <w:color w:val="0000FF"/>
          <w:sz w:val="28"/>
        </w:rPr>
      </w:pPr>
      <w:r>
        <w:rPr>
          <w:rFonts w:hint="eastAsia" w:eastAsia="仿宋_GB2312"/>
          <w:sz w:val="28"/>
        </w:rPr>
        <w:t>3、评估方法：根据具体项目要求，从重置成本法、资产基础法、收益现值法、现行市价法、清算价格法中选取两种。</w:t>
      </w:r>
    </w:p>
    <w:p w14:paraId="14091A22">
      <w:pPr>
        <w:spacing w:line="480" w:lineRule="exact"/>
        <w:ind w:firstLine="567"/>
        <w:rPr>
          <w:rFonts w:eastAsia="仿宋_GB2312"/>
          <w:b/>
          <w:sz w:val="10"/>
        </w:rPr>
      </w:pPr>
    </w:p>
    <w:p w14:paraId="7A47481D">
      <w:pPr>
        <w:spacing w:line="480" w:lineRule="exact"/>
        <w:ind w:firstLine="567"/>
        <w:outlineLvl w:val="0"/>
        <w:rPr>
          <w:rFonts w:hint="eastAsia" w:eastAsia="仿宋_GB2312"/>
          <w:b/>
          <w:sz w:val="28"/>
        </w:rPr>
      </w:pPr>
      <w:r>
        <w:rPr>
          <w:rFonts w:hint="eastAsia" w:eastAsia="仿宋_GB2312"/>
          <w:b/>
          <w:sz w:val="28"/>
        </w:rPr>
        <w:t>三、《资产评估报告书》的使用</w:t>
      </w:r>
    </w:p>
    <w:p w14:paraId="47F0518B">
      <w:pPr>
        <w:spacing w:line="480" w:lineRule="exact"/>
        <w:ind w:firstLine="567"/>
        <w:rPr>
          <w:rFonts w:hint="eastAsia" w:eastAsia="仿宋_GB2312"/>
          <w:sz w:val="28"/>
        </w:rPr>
      </w:pPr>
      <w:r>
        <w:rPr>
          <w:rFonts w:hint="eastAsia" w:eastAsia="仿宋_GB2312"/>
          <w:sz w:val="28"/>
        </w:rPr>
        <w:t>1、《资产评估报告书》的使用者为甲方—湖北日报传媒集团及参与评估的所属单位，以及按照相关规定报送备案的相关监管机构。</w:t>
      </w:r>
    </w:p>
    <w:p w14:paraId="232C6400">
      <w:pPr>
        <w:spacing w:line="480" w:lineRule="exact"/>
        <w:ind w:firstLine="567"/>
        <w:rPr>
          <w:rFonts w:hint="eastAsia" w:eastAsia="仿宋_GB2312"/>
          <w:sz w:val="28"/>
        </w:rPr>
      </w:pPr>
      <w:r>
        <w:rPr>
          <w:rFonts w:hint="eastAsia" w:eastAsia="仿宋_GB2312"/>
          <w:sz w:val="28"/>
        </w:rPr>
        <w:t>2、注册资产评估师和评估机构对甲方和其他评估报告使用者不当使用评估报告所造成的后果不承担任何责任。</w:t>
      </w:r>
    </w:p>
    <w:p w14:paraId="4A2E96B0">
      <w:pPr>
        <w:spacing w:line="480" w:lineRule="exact"/>
        <w:ind w:firstLine="567"/>
        <w:rPr>
          <w:rFonts w:eastAsia="仿宋_GB2312"/>
          <w:b/>
          <w:sz w:val="10"/>
        </w:rPr>
      </w:pPr>
    </w:p>
    <w:p w14:paraId="16B09B0E">
      <w:pPr>
        <w:spacing w:line="480" w:lineRule="exact"/>
        <w:ind w:firstLine="567"/>
        <w:outlineLvl w:val="0"/>
        <w:rPr>
          <w:rFonts w:eastAsia="仿宋_GB2312"/>
          <w:b/>
          <w:sz w:val="28"/>
        </w:rPr>
      </w:pPr>
      <w:r>
        <w:rPr>
          <w:rFonts w:hint="eastAsia" w:eastAsia="仿宋_GB2312"/>
          <w:b/>
          <w:sz w:val="28"/>
        </w:rPr>
        <w:t>四、双方应承担的责任和义务：</w:t>
      </w:r>
    </w:p>
    <w:p w14:paraId="7A606F2C">
      <w:pPr>
        <w:spacing w:line="480" w:lineRule="exact"/>
        <w:ind w:firstLine="567"/>
        <w:rPr>
          <w:rFonts w:eastAsia="仿宋_GB2312"/>
          <w:b/>
          <w:sz w:val="28"/>
        </w:rPr>
      </w:pPr>
      <w:r>
        <w:rPr>
          <w:rFonts w:hint="eastAsia" w:eastAsia="仿宋_GB2312"/>
          <w:b/>
          <w:sz w:val="28"/>
        </w:rPr>
        <w:t>甲方应承担的责任和义务：</w:t>
      </w:r>
    </w:p>
    <w:p w14:paraId="56FE6C4C">
      <w:pPr>
        <w:spacing w:line="480" w:lineRule="exact"/>
        <w:ind w:firstLine="560" w:firstLineChars="200"/>
        <w:rPr>
          <w:rFonts w:eastAsia="仿宋_GB2312"/>
          <w:sz w:val="28"/>
        </w:rPr>
      </w:pPr>
      <w:r>
        <w:rPr>
          <w:rFonts w:hint="eastAsia" w:eastAsia="仿宋_GB2312"/>
          <w:sz w:val="28"/>
        </w:rPr>
        <w:t>1、按照乙方要求及时提供、或协调相关当事方及时提供资产评估必备的资料</w:t>
      </w:r>
      <w:r>
        <w:rPr>
          <w:rFonts w:hint="eastAsia" w:eastAsia="仿宋_GB2312"/>
          <w:i/>
          <w:sz w:val="28"/>
        </w:rPr>
        <w:t>，</w:t>
      </w:r>
      <w:r>
        <w:rPr>
          <w:rFonts w:hint="eastAsia" w:eastAsia="仿宋_GB2312"/>
          <w:sz w:val="28"/>
        </w:rPr>
        <w:t>包括评估项目经济行为文件、产权证明文件、相关法律文件和评估范围内的资产评估清查评估明细表，并按职业惯例提供所掌握的相关信息资料，保证所提供的资料的真实性、合法性、完整性；</w:t>
      </w:r>
    </w:p>
    <w:p w14:paraId="58AB5F83">
      <w:pPr>
        <w:spacing w:line="480" w:lineRule="exact"/>
        <w:ind w:firstLine="560" w:firstLineChars="200"/>
        <w:rPr>
          <w:rFonts w:eastAsia="仿宋_GB2312"/>
          <w:sz w:val="28"/>
        </w:rPr>
      </w:pPr>
      <w:r>
        <w:rPr>
          <w:rFonts w:hint="eastAsia" w:eastAsia="仿宋_GB2312"/>
          <w:sz w:val="28"/>
        </w:rPr>
        <w:t>2、甲方或产权持有者应当对所提供的评估明细表及相关证明材料以签字、盖章等方式进行确认；</w:t>
      </w:r>
    </w:p>
    <w:p w14:paraId="54BFFCF8">
      <w:pPr>
        <w:spacing w:line="480" w:lineRule="exact"/>
        <w:ind w:firstLine="560" w:firstLineChars="200"/>
        <w:rPr>
          <w:rFonts w:eastAsia="仿宋_GB2312"/>
          <w:sz w:val="28"/>
        </w:rPr>
      </w:pPr>
      <w:r>
        <w:rPr>
          <w:rFonts w:hint="eastAsia" w:eastAsia="仿宋_GB2312"/>
          <w:sz w:val="28"/>
        </w:rPr>
        <w:t>3、负责为乙方现场作业人员提供必要的工作条件和便利；</w:t>
      </w:r>
    </w:p>
    <w:p w14:paraId="0249379B">
      <w:pPr>
        <w:spacing w:line="480" w:lineRule="exact"/>
        <w:ind w:firstLine="560" w:firstLineChars="200"/>
        <w:rPr>
          <w:rFonts w:eastAsia="仿宋_GB2312"/>
          <w:sz w:val="28"/>
        </w:rPr>
      </w:pPr>
      <w:r>
        <w:rPr>
          <w:rFonts w:hint="eastAsia" w:eastAsia="仿宋_GB2312"/>
          <w:sz w:val="28"/>
        </w:rPr>
        <w:t>4、根据评估程序和企业实际情况，负责组织相关部门和业务人员对现场评估活动进行安排和必要的配合；</w:t>
      </w:r>
    </w:p>
    <w:p w14:paraId="54EC53B6">
      <w:pPr>
        <w:spacing w:line="480" w:lineRule="exact"/>
        <w:ind w:firstLine="560" w:firstLineChars="200"/>
        <w:rPr>
          <w:rFonts w:eastAsia="仿宋_GB2312"/>
          <w:sz w:val="28"/>
        </w:rPr>
      </w:pPr>
      <w:r>
        <w:rPr>
          <w:rFonts w:hint="eastAsia" w:eastAsia="仿宋_GB2312"/>
          <w:sz w:val="28"/>
        </w:rPr>
        <w:t>5、配合并协助回答乙方就评估对象现场判断所提出的问题；</w:t>
      </w:r>
    </w:p>
    <w:p w14:paraId="0FBBD554">
      <w:pPr>
        <w:spacing w:line="480" w:lineRule="exact"/>
        <w:ind w:firstLine="560" w:firstLineChars="200"/>
        <w:rPr>
          <w:rFonts w:eastAsia="仿宋_GB2312"/>
          <w:sz w:val="28"/>
        </w:rPr>
      </w:pPr>
      <w:r>
        <w:rPr>
          <w:rFonts w:hint="eastAsia" w:eastAsia="仿宋_GB2312"/>
          <w:sz w:val="28"/>
        </w:rPr>
        <w:t>6、恰当地使用评估报告是甲方和相关当事方的责任。除法律、法规规定以及相关当事方另有约定，未征得评估机构同意，评估报告的内容不得被摘抄、引用或者披露于公开媒体；</w:t>
      </w:r>
    </w:p>
    <w:p w14:paraId="45DBF7B9">
      <w:pPr>
        <w:spacing w:line="480" w:lineRule="exact"/>
        <w:ind w:firstLine="560" w:firstLineChars="200"/>
        <w:rPr>
          <w:rFonts w:eastAsia="仿宋_GB2312"/>
          <w:sz w:val="28"/>
        </w:rPr>
      </w:pPr>
      <w:r>
        <w:rPr>
          <w:rFonts w:hint="eastAsia" w:eastAsia="仿宋_GB2312"/>
          <w:sz w:val="28"/>
        </w:rPr>
        <w:t>7、按约定的服务费标准和支付方式，及时足额支付评估费用；</w:t>
      </w:r>
    </w:p>
    <w:p w14:paraId="4DEB87C2">
      <w:pPr>
        <w:spacing w:line="480" w:lineRule="exact"/>
        <w:ind w:firstLine="560" w:firstLineChars="200"/>
        <w:rPr>
          <w:rFonts w:eastAsia="仿宋_GB2312"/>
          <w:sz w:val="28"/>
        </w:rPr>
      </w:pPr>
      <w:r>
        <w:rPr>
          <w:rFonts w:hint="eastAsia" w:eastAsia="仿宋_GB2312"/>
          <w:sz w:val="28"/>
        </w:rPr>
        <w:t>8、其它协议事项。</w:t>
      </w:r>
    </w:p>
    <w:p w14:paraId="69B404B5">
      <w:pPr>
        <w:spacing w:line="480" w:lineRule="exact"/>
        <w:ind w:firstLine="562" w:firstLineChars="200"/>
        <w:rPr>
          <w:rFonts w:eastAsia="仿宋_GB2312"/>
          <w:sz w:val="28"/>
        </w:rPr>
      </w:pPr>
      <w:r>
        <w:rPr>
          <w:rFonts w:hint="eastAsia" w:eastAsia="仿宋_GB2312"/>
          <w:b/>
          <w:sz w:val="28"/>
        </w:rPr>
        <w:t>乙方应承担的责任和义务：</w:t>
      </w:r>
    </w:p>
    <w:p w14:paraId="79453B69">
      <w:pPr>
        <w:spacing w:line="480" w:lineRule="exact"/>
        <w:ind w:firstLine="560" w:firstLineChars="200"/>
        <w:rPr>
          <w:rFonts w:eastAsia="仿宋_GB2312"/>
          <w:sz w:val="28"/>
        </w:rPr>
      </w:pPr>
      <w:r>
        <w:rPr>
          <w:rFonts w:eastAsia="仿宋_GB2312"/>
          <w:sz w:val="28"/>
        </w:rPr>
        <w:t>1</w:t>
      </w:r>
      <w:r>
        <w:rPr>
          <w:rFonts w:hint="eastAsia" w:eastAsia="仿宋_GB2312"/>
          <w:sz w:val="28"/>
        </w:rPr>
        <w:t>、遵守国家相关法律、法规和资产评估准则及规范，在职业标准和本约定书的框架内，对评估对象在评估基准日特定目的下的价值进行分析、估算并发表专业意见，是注册评估师的责任；</w:t>
      </w:r>
    </w:p>
    <w:p w14:paraId="466648AA">
      <w:pPr>
        <w:spacing w:line="480" w:lineRule="exact"/>
        <w:ind w:firstLine="567"/>
        <w:rPr>
          <w:rFonts w:eastAsia="仿宋_GB2312"/>
          <w:sz w:val="28"/>
        </w:rPr>
      </w:pPr>
      <w:r>
        <w:rPr>
          <w:rFonts w:hint="eastAsia" w:eastAsia="仿宋_GB2312"/>
          <w:sz w:val="28"/>
        </w:rPr>
        <w:t>2、配合并协助甲方完成中国法律要求的资产评估相关的报备事项；</w:t>
      </w:r>
    </w:p>
    <w:p w14:paraId="4952BFBD">
      <w:pPr>
        <w:spacing w:line="480" w:lineRule="exact"/>
        <w:ind w:firstLine="567"/>
        <w:rPr>
          <w:rFonts w:eastAsia="仿宋_GB2312"/>
          <w:sz w:val="28"/>
        </w:rPr>
      </w:pPr>
      <w:r>
        <w:rPr>
          <w:rFonts w:hint="eastAsia" w:eastAsia="仿宋_GB2312"/>
          <w:sz w:val="28"/>
        </w:rPr>
        <w:t>3、就评估的重大政策、标准方法和技术问题与主管部门保持密切沟通，争取主管部门的支持和帮助；</w:t>
      </w:r>
    </w:p>
    <w:p w14:paraId="1F797D16">
      <w:pPr>
        <w:spacing w:line="480" w:lineRule="exact"/>
        <w:ind w:firstLine="567"/>
        <w:rPr>
          <w:rFonts w:eastAsia="仿宋_GB2312"/>
          <w:sz w:val="28"/>
        </w:rPr>
      </w:pPr>
      <w:r>
        <w:rPr>
          <w:rFonts w:hint="eastAsia" w:eastAsia="仿宋_GB2312"/>
          <w:sz w:val="28"/>
        </w:rPr>
        <w:t>4、负责对资产评估报告核准或备案的主管部门提出的审核意见做出解释和修改；</w:t>
      </w:r>
    </w:p>
    <w:p w14:paraId="78D2D217">
      <w:pPr>
        <w:spacing w:line="480" w:lineRule="exact"/>
        <w:ind w:firstLine="567"/>
        <w:rPr>
          <w:rFonts w:eastAsia="仿宋_GB2312"/>
          <w:sz w:val="28"/>
        </w:rPr>
      </w:pPr>
      <w:r>
        <w:rPr>
          <w:rFonts w:hint="eastAsia" w:eastAsia="仿宋_GB2312"/>
          <w:sz w:val="28"/>
        </w:rPr>
        <w:t>5、在本协议约定的出具评估报告的时间之内，按照资产评估准则的要求出具《资产评估报告书》，并对所出具的《资产评估报告书》承担法律责任；</w:t>
      </w:r>
    </w:p>
    <w:p w14:paraId="74D3A6BC">
      <w:pPr>
        <w:spacing w:line="480" w:lineRule="exact"/>
        <w:ind w:firstLine="567"/>
        <w:rPr>
          <w:rFonts w:eastAsia="仿宋_GB2312"/>
          <w:sz w:val="28"/>
        </w:rPr>
      </w:pPr>
      <w:r>
        <w:rPr>
          <w:rFonts w:hint="eastAsia" w:eastAsia="仿宋_GB2312"/>
          <w:sz w:val="28"/>
        </w:rPr>
        <w:t>6、对甲方内部资料、商业秘密、评估结果及约定的保密事项保守秘密；</w:t>
      </w:r>
    </w:p>
    <w:p w14:paraId="55DFC8B0">
      <w:pPr>
        <w:spacing w:line="480" w:lineRule="exact"/>
        <w:ind w:firstLine="567"/>
        <w:rPr>
          <w:rFonts w:eastAsia="仿宋_GB2312"/>
          <w:sz w:val="28"/>
        </w:rPr>
      </w:pPr>
      <w:r>
        <w:rPr>
          <w:rFonts w:hint="eastAsia" w:eastAsia="仿宋_GB2312"/>
          <w:sz w:val="28"/>
        </w:rPr>
        <w:t>7、未经甲方书面许可，注册资产评估师和评估机构不得将评估报告的内容向第三方提供或者公开，法律、法规另有规定的除外。</w:t>
      </w:r>
    </w:p>
    <w:p w14:paraId="0A6497A7">
      <w:pPr>
        <w:spacing w:line="480" w:lineRule="exact"/>
        <w:ind w:firstLine="567"/>
        <w:rPr>
          <w:rFonts w:eastAsia="仿宋_GB2312"/>
          <w:sz w:val="28"/>
        </w:rPr>
      </w:pPr>
      <w:r>
        <w:rPr>
          <w:rFonts w:hint="eastAsia" w:eastAsia="仿宋_GB2312"/>
          <w:sz w:val="28"/>
        </w:rPr>
        <w:t>8、其他约定的义务。</w:t>
      </w:r>
    </w:p>
    <w:p w14:paraId="2918BB8E">
      <w:pPr>
        <w:spacing w:line="480" w:lineRule="exact"/>
        <w:ind w:firstLine="567"/>
        <w:rPr>
          <w:rFonts w:eastAsia="仿宋_GB2312"/>
          <w:b/>
          <w:sz w:val="10"/>
        </w:rPr>
      </w:pPr>
    </w:p>
    <w:p w14:paraId="0C0E7036">
      <w:pPr>
        <w:spacing w:line="480" w:lineRule="exact"/>
        <w:ind w:firstLine="567"/>
        <w:outlineLvl w:val="0"/>
        <w:rPr>
          <w:rFonts w:eastAsia="仿宋_GB2312"/>
          <w:b/>
          <w:sz w:val="28"/>
        </w:rPr>
      </w:pPr>
      <w:r>
        <w:rPr>
          <w:rFonts w:hint="eastAsia" w:eastAsia="仿宋_GB2312"/>
          <w:b/>
          <w:sz w:val="28"/>
        </w:rPr>
        <w:t>五、评估服务费确定方式：</w:t>
      </w:r>
    </w:p>
    <w:p w14:paraId="218DC37D">
      <w:pPr>
        <w:spacing w:line="480" w:lineRule="exact"/>
        <w:ind w:firstLine="573"/>
        <w:rPr>
          <w:rFonts w:eastAsia="仿宋_GB2312"/>
          <w:sz w:val="28"/>
        </w:rPr>
      </w:pPr>
      <w:r>
        <w:rPr>
          <w:rFonts w:hint="eastAsia" w:eastAsia="仿宋_GB2312"/>
          <w:b/>
          <w:sz w:val="28"/>
        </w:rPr>
        <w:t>1</w:t>
      </w:r>
      <w:r>
        <w:rPr>
          <w:rFonts w:hint="eastAsia" w:eastAsia="仿宋_GB2312"/>
          <w:sz w:val="28"/>
        </w:rPr>
        <w:t>、根据国家有关资产评估收费与支付的管理办法，以乙方投标文件费率优惠标准即在</w:t>
      </w:r>
      <w:r>
        <w:rPr>
          <w:rFonts w:hint="eastAsia" w:eastAsia="仿宋_GB2312"/>
          <w:sz w:val="28"/>
          <w:u w:val="single"/>
          <w:lang w:val="en-US" w:eastAsia="zh-CN"/>
        </w:rPr>
        <w:t xml:space="preserve">      </w:t>
      </w:r>
      <w:r>
        <w:rPr>
          <w:rFonts w:hint="eastAsia" w:eastAsia="仿宋_GB2312"/>
          <w:sz w:val="28"/>
        </w:rPr>
        <w:t>年湖北省物价局资产评估收费实施办法规定的收费标准上优惠</w:t>
      </w:r>
      <w:r>
        <w:rPr>
          <w:rFonts w:hint="eastAsia" w:eastAsia="仿宋_GB2312"/>
          <w:sz w:val="28"/>
          <w:u w:val="single"/>
        </w:rPr>
        <w:t xml:space="preserve">  </w:t>
      </w:r>
      <w:r>
        <w:rPr>
          <w:rFonts w:hint="eastAsia" w:eastAsia="仿宋_GB2312"/>
          <w:sz w:val="28"/>
          <w:u w:val="single"/>
          <w:lang w:val="en-US" w:eastAsia="zh-CN"/>
        </w:rPr>
        <w:t xml:space="preserve"> </w:t>
      </w:r>
      <w:r>
        <w:rPr>
          <w:rFonts w:hint="eastAsia" w:eastAsia="仿宋_GB2312"/>
          <w:sz w:val="28"/>
          <w:u w:val="single"/>
        </w:rPr>
        <w:t xml:space="preserve">   %</w:t>
      </w:r>
      <w:r>
        <w:rPr>
          <w:rFonts w:hint="eastAsia" w:eastAsia="仿宋_GB2312"/>
          <w:sz w:val="28"/>
        </w:rPr>
        <w:t>作为基础</w:t>
      </w:r>
      <w:r>
        <w:rPr>
          <w:rFonts w:hint="eastAsia" w:eastAsia="仿宋_GB2312"/>
          <w:sz w:val="28"/>
          <w:lang w:eastAsia="zh-CN"/>
        </w:rPr>
        <w:t>（优惠详单作为附件附后，与协议具备同等效力；此收费为包干费，含差旅等一应费用）</w:t>
      </w:r>
      <w:r>
        <w:rPr>
          <w:rFonts w:hint="eastAsia" w:eastAsia="仿宋_GB2312"/>
          <w:sz w:val="28"/>
        </w:rPr>
        <w:t>；双方同意在具体评估项目中，就评估范围业务内容，进一步优惠的收费费率或评估服务总费用，签订补充协议具体约定。</w:t>
      </w:r>
    </w:p>
    <w:p w14:paraId="09E0CAFB">
      <w:pPr>
        <w:spacing w:line="480" w:lineRule="exact"/>
        <w:ind w:firstLine="570"/>
        <w:rPr>
          <w:rFonts w:eastAsia="仿宋_GB2312"/>
          <w:sz w:val="28"/>
        </w:rPr>
      </w:pPr>
      <w:r>
        <w:rPr>
          <w:rFonts w:hint="eastAsia" w:eastAsia="仿宋_GB2312"/>
          <w:sz w:val="28"/>
        </w:rPr>
        <w:t>2、出现下列情况，甲方可按照计时付费标准付给乙方服务费，计时付费标准为</w:t>
      </w:r>
      <w:r>
        <w:rPr>
          <w:rFonts w:hint="eastAsia" w:eastAsia="仿宋_GB2312"/>
          <w:sz w:val="28"/>
          <w:u w:val="single"/>
        </w:rPr>
        <w:t xml:space="preserve"> 项目经理     元/小时、注册评估师    元/小时、助理   元/小时 </w:t>
      </w:r>
      <w:r>
        <w:rPr>
          <w:rFonts w:hint="eastAsia" w:eastAsia="仿宋_GB2312"/>
          <w:sz w:val="28"/>
        </w:rPr>
        <w:t>：</w:t>
      </w:r>
    </w:p>
    <w:p w14:paraId="283FAAF9">
      <w:pPr>
        <w:spacing w:line="480" w:lineRule="exact"/>
        <w:ind w:firstLine="560" w:firstLineChars="200"/>
        <w:rPr>
          <w:rFonts w:eastAsia="仿宋_GB2312"/>
          <w:sz w:val="28"/>
        </w:rPr>
      </w:pPr>
      <w:r>
        <w:rPr>
          <w:rFonts w:hint="eastAsia" w:eastAsia="仿宋_GB2312"/>
          <w:sz w:val="28"/>
        </w:rPr>
        <w:t>⑴评估过程中，因评估方案发生变化，使委托评估资产范围扩大，出现事先未曾约定的新增评估事项，造成工作量明显增加的；</w:t>
      </w:r>
    </w:p>
    <w:p w14:paraId="3303D803">
      <w:pPr>
        <w:pStyle w:val="3"/>
        <w:spacing w:line="480" w:lineRule="exact"/>
        <w:ind w:firstLine="555"/>
      </w:pPr>
      <w:r>
        <w:rPr>
          <w:rFonts w:hint="eastAsia"/>
        </w:rPr>
        <w:t>⑵甲方</w:t>
      </w:r>
      <w:r>
        <w:rPr>
          <w:rFonts w:hint="eastAsia"/>
          <w:lang w:val="en-US" w:eastAsia="zh-CN"/>
        </w:rPr>
        <w:t>未按乙方要求</w:t>
      </w:r>
      <w:r>
        <w:rPr>
          <w:rFonts w:hint="eastAsia"/>
        </w:rPr>
        <w:t>提供的相关法律、经济、权属文件不全，造成评估作业返工；</w:t>
      </w:r>
    </w:p>
    <w:p w14:paraId="610BA38D">
      <w:pPr>
        <w:pStyle w:val="3"/>
        <w:spacing w:line="480" w:lineRule="exact"/>
        <w:ind w:firstLine="555"/>
      </w:pPr>
      <w:r>
        <w:rPr>
          <w:rFonts w:hint="eastAsia"/>
        </w:rPr>
        <w:t>⑶评估基准日变更，评估机构需再次进入现场进行调整并重新出具报告的。</w:t>
      </w:r>
    </w:p>
    <w:p w14:paraId="129D250D">
      <w:pPr>
        <w:spacing w:line="480" w:lineRule="exact"/>
        <w:ind w:firstLine="567"/>
        <w:rPr>
          <w:rFonts w:eastAsia="仿宋_GB2312"/>
          <w:b/>
          <w:sz w:val="10"/>
        </w:rPr>
      </w:pPr>
    </w:p>
    <w:p w14:paraId="4B11B279">
      <w:pPr>
        <w:spacing w:line="480" w:lineRule="exact"/>
        <w:ind w:firstLine="567"/>
        <w:outlineLvl w:val="0"/>
        <w:rPr>
          <w:rFonts w:eastAsia="仿宋_GB2312"/>
          <w:b/>
          <w:sz w:val="28"/>
        </w:rPr>
      </w:pPr>
      <w:r>
        <w:rPr>
          <w:rFonts w:hint="eastAsia" w:eastAsia="仿宋_GB2312"/>
          <w:b/>
          <w:sz w:val="28"/>
        </w:rPr>
        <w:t>六、违约责任：</w:t>
      </w:r>
    </w:p>
    <w:p w14:paraId="2CF0B080">
      <w:pPr>
        <w:spacing w:line="480" w:lineRule="exact"/>
        <w:ind w:firstLine="567"/>
        <w:rPr>
          <w:rFonts w:eastAsia="仿宋_GB2312"/>
          <w:sz w:val="28"/>
        </w:rPr>
      </w:pPr>
      <w:r>
        <w:rPr>
          <w:rFonts w:hint="eastAsia" w:eastAsia="仿宋_GB2312"/>
          <w:sz w:val="28"/>
        </w:rPr>
        <w:t>1、乙方违反本约定书，不能在约定时间内提供专业水准的评估报告，每延期一天，支付相当于服务费总额</w:t>
      </w:r>
      <w:r>
        <w:rPr>
          <w:rFonts w:eastAsia="仿宋_GB2312"/>
          <w:sz w:val="28"/>
        </w:rPr>
        <w:t>0.5</w:t>
      </w:r>
      <w:r>
        <w:rPr>
          <w:rFonts w:hint="eastAsia" w:eastAsia="仿宋_GB2312"/>
          <w:sz w:val="28"/>
        </w:rPr>
        <w:t>‰的违约金，如由此造成经济行为确指的资产业务无法进行或造成严重后果的，乙方应退还已收全部服务费，直至承担相应的法律责任。</w:t>
      </w:r>
    </w:p>
    <w:p w14:paraId="7A595D58">
      <w:pPr>
        <w:spacing w:line="480" w:lineRule="exact"/>
        <w:ind w:firstLine="567"/>
        <w:rPr>
          <w:rFonts w:eastAsia="仿宋_GB2312"/>
          <w:sz w:val="28"/>
        </w:rPr>
      </w:pPr>
      <w:r>
        <w:rPr>
          <w:rFonts w:hint="eastAsia" w:eastAsia="仿宋_GB2312"/>
          <w:sz w:val="28"/>
        </w:rPr>
        <w:t>2、甲方违反本约定书，不能及时提供评估范围《资产评估清查评估明细表》，不能及时提供按资产评估法规要求撰写的有关资料，不能及时提供资产评估必须的相关法律文件、经济行为文件、产权证明文件及本评估项目相关的资料、信息，致使工作延误，除自动免除乙方按约定时间完成工作的责任外，对乙方由此而增加工时的费用，由双方协商酌情处理。</w:t>
      </w:r>
    </w:p>
    <w:p w14:paraId="04DADBF6">
      <w:pPr>
        <w:spacing w:line="480" w:lineRule="exact"/>
        <w:ind w:firstLine="567"/>
        <w:rPr>
          <w:rFonts w:eastAsia="仿宋_GB2312"/>
          <w:sz w:val="28"/>
        </w:rPr>
      </w:pPr>
      <w:r>
        <w:rPr>
          <w:rFonts w:hint="eastAsia" w:eastAsia="仿宋_GB2312"/>
          <w:sz w:val="28"/>
        </w:rPr>
        <w:t>3、因甲方原因造成评估业务终止的，甲方应按照已完成的工作量支付相应的评估服务费。</w:t>
      </w:r>
    </w:p>
    <w:p w14:paraId="239E8976">
      <w:pPr>
        <w:spacing w:line="480" w:lineRule="exact"/>
        <w:ind w:firstLine="567"/>
        <w:rPr>
          <w:rFonts w:eastAsia="仿宋_GB2312"/>
          <w:sz w:val="28"/>
        </w:rPr>
      </w:pPr>
      <w:r>
        <w:rPr>
          <w:rFonts w:hint="eastAsia" w:eastAsia="仿宋_GB2312"/>
          <w:sz w:val="28"/>
        </w:rPr>
        <w:t>4、甲方不能在约定时间内按服务费额和支付方式，及时足额支付乙方服务费，每日按滞付金额的0.</w:t>
      </w:r>
      <w:r>
        <w:rPr>
          <w:rFonts w:eastAsia="仿宋_GB2312"/>
          <w:sz w:val="28"/>
        </w:rPr>
        <w:t>5</w:t>
      </w:r>
      <w:r>
        <w:rPr>
          <w:rFonts w:hint="eastAsia" w:eastAsia="仿宋_GB2312"/>
          <w:sz w:val="28"/>
        </w:rPr>
        <w:t>‰计付违约金。</w:t>
      </w:r>
    </w:p>
    <w:p w14:paraId="3036F6B2">
      <w:pPr>
        <w:spacing w:line="480" w:lineRule="exact"/>
        <w:ind w:firstLine="567"/>
        <w:rPr>
          <w:rFonts w:eastAsia="仿宋_GB2312"/>
          <w:sz w:val="28"/>
        </w:rPr>
      </w:pPr>
      <w:r>
        <w:rPr>
          <w:rFonts w:hint="eastAsia" w:eastAsia="仿宋_GB2312"/>
          <w:sz w:val="28"/>
        </w:rPr>
        <w:t>5、因不可抗力无法履行业务约定书的，根据不可抗力的影响，部分或者全部免除责任，法律法规另有规定的除外。</w:t>
      </w:r>
    </w:p>
    <w:p w14:paraId="6C0341D5">
      <w:pPr>
        <w:spacing w:line="480" w:lineRule="exact"/>
        <w:ind w:firstLine="567"/>
        <w:rPr>
          <w:rFonts w:hint="eastAsia" w:eastAsia="仿宋_GB2312"/>
          <w:sz w:val="28"/>
        </w:rPr>
      </w:pPr>
      <w:r>
        <w:rPr>
          <w:rFonts w:hint="eastAsia" w:eastAsia="仿宋_GB2312"/>
          <w:sz w:val="28"/>
        </w:rPr>
        <w:t>6、因乙方在开展评估工作中未遵守国家相关法律、法规和资产评估准则及规范，出具报告有误，甲方因使用该报告遭受损失的，乙方全额赔偿甲方损失。</w:t>
      </w:r>
    </w:p>
    <w:p w14:paraId="0A34C8BF">
      <w:pPr>
        <w:spacing w:line="480" w:lineRule="exact"/>
        <w:ind w:firstLine="567"/>
        <w:rPr>
          <w:rFonts w:eastAsia="仿宋_GB2312"/>
          <w:b/>
          <w:sz w:val="10"/>
        </w:rPr>
      </w:pPr>
    </w:p>
    <w:p w14:paraId="2379D305">
      <w:pPr>
        <w:spacing w:line="480" w:lineRule="exact"/>
        <w:ind w:firstLine="567"/>
        <w:outlineLvl w:val="0"/>
        <w:rPr>
          <w:rFonts w:hint="eastAsia" w:eastAsia="仿宋_GB2312"/>
          <w:b/>
          <w:sz w:val="28"/>
        </w:rPr>
      </w:pPr>
      <w:r>
        <w:rPr>
          <w:rFonts w:hint="eastAsia" w:eastAsia="仿宋_GB2312"/>
          <w:b/>
          <w:sz w:val="28"/>
        </w:rPr>
        <w:t>七、评估服务期限</w:t>
      </w:r>
    </w:p>
    <w:p w14:paraId="5E949838">
      <w:pPr>
        <w:spacing w:line="480" w:lineRule="exact"/>
        <w:ind w:firstLine="567"/>
        <w:rPr>
          <w:rFonts w:hint="eastAsia" w:eastAsia="仿宋_GB2312"/>
          <w:sz w:val="28"/>
        </w:rPr>
      </w:pPr>
      <w:r>
        <w:rPr>
          <w:rFonts w:hint="eastAsia" w:eastAsia="仿宋_GB2312"/>
          <w:sz w:val="28"/>
        </w:rPr>
        <w:t>甲方拟委托乙方资产评估服务的期限为202</w:t>
      </w:r>
      <w:r>
        <w:rPr>
          <w:rFonts w:hint="eastAsia" w:eastAsia="仿宋_GB2312"/>
          <w:sz w:val="28"/>
          <w:lang w:val="en-US" w:eastAsia="zh-CN"/>
        </w:rPr>
        <w:t>5</w:t>
      </w:r>
      <w:r>
        <w:rPr>
          <w:rFonts w:hint="eastAsia" w:eastAsia="仿宋_GB2312"/>
          <w:sz w:val="28"/>
        </w:rPr>
        <w:t>年3月16至202</w:t>
      </w:r>
      <w:r>
        <w:rPr>
          <w:rFonts w:hint="eastAsia" w:eastAsia="仿宋_GB2312"/>
          <w:sz w:val="28"/>
          <w:lang w:val="en-US" w:eastAsia="zh-CN"/>
        </w:rPr>
        <w:t>7</w:t>
      </w:r>
      <w:r>
        <w:rPr>
          <w:rFonts w:hint="eastAsia" w:eastAsia="仿宋_GB2312"/>
          <w:sz w:val="28"/>
        </w:rPr>
        <w:t>年3月15日。</w:t>
      </w:r>
    </w:p>
    <w:p w14:paraId="5A2047A0">
      <w:pPr>
        <w:spacing w:line="480" w:lineRule="exact"/>
        <w:ind w:firstLine="567"/>
        <w:rPr>
          <w:rFonts w:hint="eastAsia" w:eastAsia="仿宋_GB2312"/>
          <w:sz w:val="28"/>
        </w:rPr>
      </w:pPr>
    </w:p>
    <w:p w14:paraId="6C2FC6D9">
      <w:pPr>
        <w:spacing w:line="480" w:lineRule="exact"/>
        <w:ind w:firstLine="567"/>
        <w:outlineLvl w:val="0"/>
        <w:rPr>
          <w:rFonts w:hint="eastAsia" w:eastAsia="仿宋_GB2312"/>
          <w:b/>
          <w:sz w:val="28"/>
          <w:szCs w:val="22"/>
        </w:rPr>
      </w:pPr>
      <w:r>
        <w:rPr>
          <w:rFonts w:hint="eastAsia" w:eastAsia="仿宋_GB2312"/>
          <w:b/>
          <w:sz w:val="28"/>
          <w:szCs w:val="22"/>
        </w:rPr>
        <w:t>八、廉政条款和保密条款的约定</w:t>
      </w:r>
    </w:p>
    <w:p w14:paraId="19F4CFB1">
      <w:pPr>
        <w:spacing w:line="480" w:lineRule="exact"/>
        <w:ind w:firstLine="562" w:firstLineChars="200"/>
        <w:rPr>
          <w:rFonts w:hint="eastAsia" w:ascii="宋体" w:hAnsi="宋体"/>
          <w:b/>
          <w:bCs/>
          <w:i/>
          <w:iCs/>
          <w:sz w:val="28"/>
          <w:szCs w:val="28"/>
          <w:highlight w:val="yellow"/>
          <w:u w:val="single"/>
        </w:rPr>
      </w:pPr>
      <w:r>
        <w:rPr>
          <w:rFonts w:hint="eastAsia" w:ascii="宋体" w:hAnsi="宋体"/>
          <w:b/>
          <w:bCs/>
          <w:i/>
          <w:iCs/>
          <w:sz w:val="28"/>
          <w:szCs w:val="28"/>
          <w:highlight w:val="yellow"/>
          <w:u w:val="single"/>
        </w:rPr>
        <w:t>廉政条款：</w:t>
      </w:r>
    </w:p>
    <w:p w14:paraId="664B920F">
      <w:pPr>
        <w:numPr>
          <w:ilvl w:val="0"/>
          <w:numId w:val="2"/>
        </w:numPr>
        <w:spacing w:line="480" w:lineRule="exact"/>
        <w:ind w:firstLine="567"/>
        <w:rPr>
          <w:rFonts w:eastAsia="仿宋_GB2312"/>
          <w:sz w:val="28"/>
          <w:szCs w:val="22"/>
        </w:rPr>
      </w:pPr>
      <w:r>
        <w:rPr>
          <w:rFonts w:eastAsia="仿宋_GB2312"/>
          <w:sz w:val="28"/>
          <w:szCs w:val="22"/>
        </w:rPr>
        <w:t>双方承诺，为达成及/或履行本协议，任一方及其任何关联企业的董事、管理人员、雇员、代理人或顾问不曾也不会违反任何相关的法律法规，向(a)任何国家或地区的政府官员；或(b)另一方关联企业的董事、管理人员、雇员、代理人或顾问；或(c)任何与履行本协议相关的第三方（如有）及其关联方的董事、管理人员、雇员、代理人或者顾问等任何有关人员，直接或间接地提供资金、礼品，有价物品、服务，或者提供任何其他不正当利益；或（d）一方及其配偶持有或由第三方代持有另一方股权（但通过公开的证券交易市场且低于发行在外5%的权益、通过直接或间接持有无实际控制权的基金、或通过受益人非本人或关联人士的信托方式持有的股份除外）或（e）一方不得聘用（包括但不限于建立正式劳动关系、劳务派遣、外包服务、兼职、咨询顾问等其他形式）另一方员工。</w:t>
      </w:r>
      <w:r>
        <w:rPr>
          <w:rFonts w:eastAsia="仿宋_GB2312"/>
          <w:sz w:val="28"/>
          <w:szCs w:val="22"/>
        </w:rPr>
        <w:br w:type="textWrapping" w:clear="all"/>
      </w:r>
      <w:r>
        <w:rPr>
          <w:rFonts w:hint="eastAsia" w:eastAsia="仿宋_GB2312"/>
          <w:sz w:val="28"/>
          <w:szCs w:val="22"/>
        </w:rPr>
        <w:t xml:space="preserve">    </w:t>
      </w:r>
      <w:r>
        <w:rPr>
          <w:rFonts w:eastAsia="仿宋_GB2312"/>
          <w:sz w:val="28"/>
          <w:szCs w:val="22"/>
        </w:rPr>
        <w:t>2</w:t>
      </w:r>
      <w:r>
        <w:rPr>
          <w:rFonts w:hint="eastAsia" w:eastAsia="仿宋_GB2312"/>
          <w:sz w:val="28"/>
          <w:szCs w:val="22"/>
        </w:rPr>
        <w:t>、</w:t>
      </w:r>
      <w:r>
        <w:rPr>
          <w:rFonts w:eastAsia="仿宋_GB2312"/>
          <w:sz w:val="28"/>
          <w:szCs w:val="22"/>
        </w:rPr>
        <w:t>双方确认并同意，如一经发现另一方存在违反前述规定的情况，守约方有权立刻解除本协议，并由守约方按(a)本协议项下合同总额30％的违约金；或(b)所提供的不正当利益的总金额，两者中金额较高者向另一方承担违约责任</w:t>
      </w:r>
      <w:r>
        <w:rPr>
          <w:rFonts w:hint="eastAsia" w:eastAsia="仿宋_GB2312"/>
          <w:sz w:val="28"/>
          <w:szCs w:val="22"/>
        </w:rPr>
        <w:t>。</w:t>
      </w:r>
      <w:r>
        <w:rPr>
          <w:rFonts w:eastAsia="仿宋_GB2312"/>
          <w:sz w:val="28"/>
          <w:szCs w:val="22"/>
        </w:rPr>
        <w:t>如</w:t>
      </w:r>
      <w:r>
        <w:rPr>
          <w:rFonts w:hint="eastAsia" w:eastAsia="仿宋_GB2312"/>
          <w:sz w:val="28"/>
          <w:szCs w:val="22"/>
        </w:rPr>
        <w:t>乙</w:t>
      </w:r>
      <w:r>
        <w:rPr>
          <w:rFonts w:eastAsia="仿宋_GB2312"/>
          <w:sz w:val="28"/>
          <w:szCs w:val="22"/>
        </w:rPr>
        <w:t>方有知悉/怀疑</w:t>
      </w:r>
      <w:r>
        <w:rPr>
          <w:rFonts w:hint="eastAsia" w:eastAsia="仿宋_GB2312"/>
          <w:sz w:val="28"/>
          <w:szCs w:val="22"/>
        </w:rPr>
        <w:t>甲</w:t>
      </w:r>
      <w:r>
        <w:rPr>
          <w:rFonts w:eastAsia="仿宋_GB2312"/>
          <w:sz w:val="28"/>
          <w:szCs w:val="22"/>
        </w:rPr>
        <w:t>方员工有违反上述约定的，欢迎向</w:t>
      </w:r>
      <w:r>
        <w:rPr>
          <w:rFonts w:hint="eastAsia" w:eastAsia="仿宋_GB2312"/>
          <w:sz w:val="28"/>
          <w:szCs w:val="22"/>
        </w:rPr>
        <w:t>甲</w:t>
      </w:r>
      <w:r>
        <w:rPr>
          <w:rFonts w:eastAsia="仿宋_GB2312"/>
          <w:sz w:val="28"/>
          <w:szCs w:val="22"/>
        </w:rPr>
        <w:t>方举报系统及/或廉政邮箱进行举报。</w:t>
      </w:r>
    </w:p>
    <w:p w14:paraId="66DEEA23">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 xml:space="preserve">举报系统：    </w:t>
      </w:r>
      <w:r>
        <w:rPr>
          <w:rFonts w:eastAsia="仿宋_GB2312"/>
          <w:sz w:val="28"/>
          <w:szCs w:val="22"/>
        </w:rPr>
        <w:br w:type="textWrapping" w:clear="all"/>
      </w:r>
      <w:r>
        <w:rPr>
          <w:rFonts w:hint="eastAsia" w:eastAsia="仿宋_GB2312"/>
          <w:sz w:val="28"/>
          <w:szCs w:val="22"/>
        </w:rPr>
        <w:t xml:space="preserve">    </w:t>
      </w:r>
      <w:r>
        <w:rPr>
          <w:rFonts w:eastAsia="仿宋_GB2312"/>
          <w:sz w:val="28"/>
          <w:szCs w:val="22"/>
        </w:rPr>
        <w:t>举报邮箱：</w:t>
      </w:r>
      <w:r>
        <w:rPr>
          <w:rFonts w:eastAsia="仿宋_GB2312"/>
          <w:sz w:val="28"/>
          <w:szCs w:val="22"/>
        </w:rPr>
        <w:br w:type="textWrapping" w:clear="all"/>
      </w:r>
      <w:r>
        <w:rPr>
          <w:rFonts w:hint="eastAsia" w:eastAsia="仿宋_GB2312"/>
          <w:sz w:val="28"/>
          <w:szCs w:val="22"/>
        </w:rPr>
        <w:t xml:space="preserve">    </w:t>
      </w:r>
      <w:r>
        <w:rPr>
          <w:rFonts w:eastAsia="仿宋_GB2312"/>
          <w:sz w:val="28"/>
          <w:szCs w:val="22"/>
        </w:rPr>
        <w:t>3</w:t>
      </w:r>
      <w:r>
        <w:rPr>
          <w:rFonts w:hint="eastAsia" w:eastAsia="仿宋_GB2312"/>
          <w:sz w:val="28"/>
          <w:szCs w:val="22"/>
        </w:rPr>
        <w:t>、</w:t>
      </w:r>
      <w:r>
        <w:rPr>
          <w:rFonts w:eastAsia="仿宋_GB2312"/>
          <w:sz w:val="28"/>
          <w:szCs w:val="22"/>
        </w:rPr>
        <w:t>上述条款原则上仅为保障</w:t>
      </w:r>
      <w:r>
        <w:rPr>
          <w:rFonts w:hint="eastAsia" w:eastAsia="仿宋_GB2312"/>
          <w:sz w:val="28"/>
          <w:szCs w:val="22"/>
        </w:rPr>
        <w:t>甲</w:t>
      </w:r>
      <w:r>
        <w:rPr>
          <w:rFonts w:eastAsia="仿宋_GB2312"/>
          <w:sz w:val="28"/>
          <w:szCs w:val="22"/>
        </w:rPr>
        <w:t>方及其员工的廉洁性。但如</w:t>
      </w:r>
      <w:r>
        <w:rPr>
          <w:rFonts w:hint="eastAsia" w:eastAsia="仿宋_GB2312"/>
          <w:sz w:val="28"/>
          <w:szCs w:val="22"/>
        </w:rPr>
        <w:t>乙</w:t>
      </w:r>
      <w:r>
        <w:rPr>
          <w:rFonts w:eastAsia="仿宋_GB2312"/>
          <w:sz w:val="28"/>
          <w:szCs w:val="22"/>
        </w:rPr>
        <w:t>方希望</w:t>
      </w:r>
      <w:r>
        <w:rPr>
          <w:rFonts w:hint="eastAsia" w:eastAsia="仿宋_GB2312"/>
          <w:sz w:val="28"/>
          <w:szCs w:val="22"/>
        </w:rPr>
        <w:t>甲</w:t>
      </w:r>
      <w:r>
        <w:rPr>
          <w:rFonts w:eastAsia="仿宋_GB2312"/>
          <w:sz w:val="28"/>
          <w:szCs w:val="22"/>
        </w:rPr>
        <w:t>方承担同等保证义务的，可在执行合同中加以明确。如进行明确则本条内容可参照适用于</w:t>
      </w:r>
      <w:r>
        <w:rPr>
          <w:rFonts w:hint="eastAsia" w:eastAsia="仿宋_GB2312"/>
          <w:sz w:val="28"/>
          <w:szCs w:val="22"/>
        </w:rPr>
        <w:t>乙</w:t>
      </w:r>
      <w:r>
        <w:rPr>
          <w:rFonts w:eastAsia="仿宋_GB2312"/>
          <w:sz w:val="28"/>
          <w:szCs w:val="22"/>
        </w:rPr>
        <w:t>方及其员工廉洁性保障。</w:t>
      </w:r>
      <w:r>
        <w:rPr>
          <w:rFonts w:hint="eastAsia" w:eastAsia="仿宋_GB2312"/>
          <w:sz w:val="28"/>
          <w:szCs w:val="22"/>
        </w:rPr>
        <w:t>甲</w:t>
      </w:r>
      <w:r>
        <w:rPr>
          <w:rFonts w:eastAsia="仿宋_GB2312"/>
          <w:sz w:val="28"/>
          <w:szCs w:val="22"/>
        </w:rPr>
        <w:t>方需承担本条中</w:t>
      </w:r>
      <w:r>
        <w:rPr>
          <w:rFonts w:hint="eastAsia" w:eastAsia="仿宋_GB2312"/>
          <w:sz w:val="28"/>
          <w:szCs w:val="22"/>
        </w:rPr>
        <w:t>乙</w:t>
      </w:r>
      <w:r>
        <w:rPr>
          <w:rFonts w:eastAsia="仿宋_GB2312"/>
          <w:sz w:val="28"/>
          <w:szCs w:val="22"/>
        </w:rPr>
        <w:t>方承诺的相应义务。</w:t>
      </w:r>
    </w:p>
    <w:p w14:paraId="0350465D">
      <w:pPr>
        <w:spacing w:line="480" w:lineRule="exact"/>
        <w:ind w:firstLine="562" w:firstLineChars="200"/>
        <w:rPr>
          <w:rFonts w:hint="eastAsia" w:ascii="宋体" w:hAnsi="宋体"/>
          <w:b/>
          <w:bCs/>
          <w:i/>
          <w:iCs/>
          <w:sz w:val="28"/>
          <w:szCs w:val="28"/>
          <w:highlight w:val="yellow"/>
          <w:u w:val="single"/>
        </w:rPr>
      </w:pPr>
      <w:r>
        <w:rPr>
          <w:rFonts w:hint="eastAsia" w:ascii="宋体" w:hAnsi="宋体"/>
          <w:b/>
          <w:bCs/>
          <w:i/>
          <w:iCs/>
          <w:sz w:val="28"/>
          <w:szCs w:val="28"/>
          <w:highlight w:val="yellow"/>
          <w:u w:val="single"/>
        </w:rPr>
        <w:t>保密条款：</w:t>
      </w:r>
    </w:p>
    <w:p w14:paraId="7571A46F">
      <w:pPr>
        <w:spacing w:line="480" w:lineRule="exact"/>
        <w:jc w:val="left"/>
        <w:rPr>
          <w:rFonts w:eastAsia="仿宋_GB2312"/>
          <w:sz w:val="28"/>
          <w:szCs w:val="22"/>
        </w:rPr>
      </w:pPr>
      <w:r>
        <w:rPr>
          <w:rFonts w:hint="eastAsia" w:ascii="Calibri" w:hAnsi="Calibri"/>
          <w:sz w:val="28"/>
          <w:szCs w:val="22"/>
        </w:rPr>
        <w:t xml:space="preserve">   </w:t>
      </w:r>
      <w:r>
        <w:rPr>
          <w:rFonts w:hint="eastAsia" w:eastAsia="仿宋_GB2312"/>
          <w:sz w:val="28"/>
          <w:szCs w:val="22"/>
        </w:rPr>
        <w:t xml:space="preserve"> </w:t>
      </w:r>
      <w:r>
        <w:rPr>
          <w:rFonts w:eastAsia="仿宋_GB2312"/>
          <w:sz w:val="28"/>
          <w:szCs w:val="22"/>
        </w:rPr>
        <w:t>1</w:t>
      </w:r>
      <w:r>
        <w:rPr>
          <w:rFonts w:hint="eastAsia" w:eastAsia="仿宋_GB2312"/>
          <w:sz w:val="28"/>
          <w:szCs w:val="22"/>
        </w:rPr>
        <w:t>.</w:t>
      </w:r>
      <w:r>
        <w:rPr>
          <w:rFonts w:eastAsia="仿宋_GB2312"/>
          <w:sz w:val="28"/>
          <w:szCs w:val="22"/>
        </w:rPr>
        <w:t>本协议涉及之保密信息，主要指定以下内容：</w:t>
      </w:r>
    </w:p>
    <w:p w14:paraId="1269642C">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1.1.经营管理信息，包括但不限于：业务规划与计划、生产经营业绩与财务数据、现有及预期的客户和供应商信息、财务信息、人力资源资料业务运作文件，以及其他类似的信息</w:t>
      </w:r>
    </w:p>
    <w:p w14:paraId="51F20748">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1.2.技术资料信息，包括但不限于：技术诀窍与创意、设计、处理流程、技术与集成方案、实施计划、咨询报告、计算机程序（包括源程序与目标代码），以及其他类似的信息</w:t>
      </w:r>
    </w:p>
    <w:p w14:paraId="3D59B9DC">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1.3.双方为实现合同目的，合作前期或合作过程中相互提供的资料，包括但不限于：双方合作的合同、协议、会议纪要、项目整体实施与过程细节，以及其他类似信息。</w:t>
      </w:r>
    </w:p>
    <w:p w14:paraId="0C201F0B">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1.4.合作中所涉及的向互联网用户搜集的属于互联网用户个人数据信息等。</w:t>
      </w:r>
    </w:p>
    <w:p w14:paraId="78739233">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2</w:t>
      </w:r>
      <w:r>
        <w:rPr>
          <w:rFonts w:hint="eastAsia" w:eastAsia="仿宋_GB2312"/>
          <w:sz w:val="28"/>
          <w:szCs w:val="22"/>
        </w:rPr>
        <w:t>.</w:t>
      </w:r>
      <w:r>
        <w:rPr>
          <w:rFonts w:eastAsia="仿宋_GB2312"/>
          <w:sz w:val="28"/>
          <w:szCs w:val="22"/>
        </w:rPr>
        <w:t>如果信息取得时，(a)该信息已为公众所知的情况，或（b）该信息非由于接受方的责任为公众所知的情况，或(c)从拥有合法权利的第三方，获得不需承担保守秘密的义务而得到明示的情况，则均不再视为保密信息。</w:t>
      </w:r>
    </w:p>
    <w:p w14:paraId="5F97FF89">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3</w:t>
      </w:r>
      <w:r>
        <w:rPr>
          <w:rFonts w:hint="eastAsia" w:eastAsia="仿宋_GB2312"/>
          <w:sz w:val="28"/>
          <w:szCs w:val="22"/>
        </w:rPr>
        <w:t>.</w:t>
      </w:r>
      <w:r>
        <w:rPr>
          <w:rFonts w:eastAsia="仿宋_GB2312"/>
          <w:sz w:val="28"/>
          <w:szCs w:val="22"/>
        </w:rPr>
        <w:t>保密义务的解除</w:t>
      </w:r>
    </w:p>
    <w:p w14:paraId="4E23AD7D">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3.1.该信息因不可归责于接受方的事由，已为或随后将为公众所掌握。</w:t>
      </w:r>
    </w:p>
    <w:p w14:paraId="578B9B79">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3.2.披露方将该信息提供第三方，而未要求其遵循保密义务。</w:t>
      </w:r>
    </w:p>
    <w:p w14:paraId="5F5A29F4">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3.3.有客观的证据表明，接受方在接受披露方传达的信息前，已知悉或已获取该信息。或接受方依靠并未直接或间接接触披露方提供的保密信息的人员，已在相关方面获得独立发展。</w:t>
      </w:r>
    </w:p>
    <w:p w14:paraId="49451BA9">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3.4.由于行政管理机关或司法机关的强制命令或执行而无法继续保密。若在该信息被强制公开前或公开时接受方无法通知披露方，应在强制公开后给披露方及时且合理的书面通知。</w:t>
      </w:r>
    </w:p>
    <w:p w14:paraId="2B1AD967">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4</w:t>
      </w:r>
      <w:r>
        <w:rPr>
          <w:rFonts w:hint="eastAsia" w:eastAsia="仿宋_GB2312"/>
          <w:sz w:val="28"/>
          <w:szCs w:val="22"/>
        </w:rPr>
        <w:t>.</w:t>
      </w:r>
      <w:r>
        <w:rPr>
          <w:rFonts w:eastAsia="仿宋_GB2312"/>
          <w:sz w:val="28"/>
          <w:szCs w:val="22"/>
        </w:rPr>
        <w:t>接受方有权授予因业务需要而必须知悉保密信息的雇员（包括但不限于其分支机构的雇员）使用和接触保密信息，且该雇员知道并同意遵守本协议相关条款，通过履行其与接受方签订的适当的书面协议，足以使其依循本协议全部条款。接受方在未经披露方事先书面授权或同意，接受方不得：（a）向任何第三方披露任何保密信息；(b)为第三方利益使用保密信息；(c)非为实现本协议项下之目的使用保密信息。</w:t>
      </w:r>
    </w:p>
    <w:p w14:paraId="52EF8C5C">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5</w:t>
      </w:r>
      <w:r>
        <w:rPr>
          <w:rFonts w:hint="eastAsia" w:eastAsia="仿宋_GB2312"/>
          <w:sz w:val="28"/>
          <w:szCs w:val="22"/>
        </w:rPr>
        <w:t>.</w:t>
      </w:r>
      <w:r>
        <w:rPr>
          <w:rFonts w:eastAsia="仿宋_GB2312"/>
          <w:sz w:val="28"/>
          <w:szCs w:val="22"/>
        </w:rPr>
        <w:t>本协议项下保密义务应自本协议生效之日起，至本协议期限届满之日后[三]年，其中对本条1.4款所涉信息的保密义务期限为永久。</w:t>
      </w:r>
    </w:p>
    <w:p w14:paraId="28655335">
      <w:pPr>
        <w:spacing w:line="480" w:lineRule="exact"/>
        <w:jc w:val="left"/>
        <w:rPr>
          <w:rFonts w:eastAsia="仿宋_GB2312"/>
          <w:sz w:val="28"/>
          <w:szCs w:val="22"/>
        </w:rPr>
      </w:pPr>
      <w:r>
        <w:rPr>
          <w:rFonts w:hint="eastAsia" w:eastAsia="仿宋_GB2312"/>
          <w:sz w:val="28"/>
          <w:szCs w:val="22"/>
        </w:rPr>
        <w:t xml:space="preserve">    </w:t>
      </w:r>
      <w:r>
        <w:rPr>
          <w:rFonts w:eastAsia="仿宋_GB2312"/>
          <w:sz w:val="28"/>
          <w:szCs w:val="22"/>
        </w:rPr>
        <w:t>6</w:t>
      </w:r>
      <w:r>
        <w:rPr>
          <w:rFonts w:hint="eastAsia" w:eastAsia="仿宋_GB2312"/>
          <w:sz w:val="28"/>
          <w:szCs w:val="22"/>
        </w:rPr>
        <w:t>.</w:t>
      </w:r>
      <w:r>
        <w:rPr>
          <w:rFonts w:eastAsia="仿宋_GB2312"/>
          <w:sz w:val="28"/>
          <w:szCs w:val="22"/>
        </w:rPr>
        <w:t>如任何一方违反此保密条款，守约方有权根据情节轻重、所造成影响大小等因素选择暂停、中止乃至终止合作。如守约方选择暂停或中止合作的，应向违约方发送相应书面通知，违约方在收到书面通知之日起3日内对相应违约内容进行整改，整改完成且守约方确认无误的，可恢复合作，否则合作自第4日起终止。如守约方选择终止合作的，经守约方书面通知违约方后本协议即告终止。</w:t>
      </w:r>
    </w:p>
    <w:p w14:paraId="19770F03">
      <w:pPr>
        <w:spacing w:line="480" w:lineRule="exact"/>
        <w:ind w:firstLine="567"/>
        <w:outlineLvl w:val="0"/>
        <w:rPr>
          <w:rFonts w:hint="eastAsia" w:eastAsia="仿宋_GB2312"/>
          <w:b/>
          <w:sz w:val="28"/>
        </w:rPr>
      </w:pPr>
    </w:p>
    <w:p w14:paraId="3A6CABE4">
      <w:pPr>
        <w:spacing w:line="480" w:lineRule="exact"/>
        <w:ind w:firstLine="567"/>
        <w:outlineLvl w:val="0"/>
        <w:rPr>
          <w:rFonts w:eastAsia="仿宋_GB2312"/>
          <w:b/>
          <w:sz w:val="28"/>
        </w:rPr>
      </w:pPr>
      <w:r>
        <w:rPr>
          <w:rFonts w:hint="eastAsia" w:eastAsia="仿宋_GB2312"/>
          <w:b/>
          <w:sz w:val="28"/>
        </w:rPr>
        <w:t>九、其他事项：</w:t>
      </w:r>
    </w:p>
    <w:p w14:paraId="555E887F">
      <w:pPr>
        <w:spacing w:line="480" w:lineRule="exact"/>
        <w:ind w:firstLine="567"/>
        <w:rPr>
          <w:rFonts w:eastAsia="仿宋_GB2312"/>
          <w:sz w:val="28"/>
        </w:rPr>
      </w:pPr>
      <w:r>
        <w:rPr>
          <w:rFonts w:hint="eastAsia" w:eastAsia="仿宋_GB2312"/>
          <w:sz w:val="28"/>
        </w:rPr>
        <w:t>1、甲方对现场评估工作提供方便和支持(包括网络、通信、打印、复印、传真等设备支持)。</w:t>
      </w:r>
    </w:p>
    <w:p w14:paraId="540175C8">
      <w:pPr>
        <w:spacing w:line="480" w:lineRule="exact"/>
        <w:ind w:firstLine="567"/>
        <w:rPr>
          <w:rFonts w:eastAsia="仿宋_GB2312"/>
          <w:sz w:val="28"/>
        </w:rPr>
      </w:pPr>
      <w:r>
        <w:rPr>
          <w:rFonts w:hint="eastAsia" w:eastAsia="仿宋_GB2312"/>
          <w:sz w:val="28"/>
        </w:rPr>
        <w:t>2、本《资产评估业务框架协议》一式陆份，甲乙双方各执叁份，具有同等法律效力。</w:t>
      </w:r>
    </w:p>
    <w:p w14:paraId="7CCC6DFC">
      <w:pPr>
        <w:spacing w:line="480" w:lineRule="exact"/>
        <w:ind w:firstLine="567"/>
        <w:rPr>
          <w:rFonts w:eastAsia="仿宋_GB2312"/>
          <w:b/>
          <w:sz w:val="10"/>
        </w:rPr>
      </w:pPr>
    </w:p>
    <w:p w14:paraId="5A338A54">
      <w:pPr>
        <w:numPr>
          <w:ilvl w:val="0"/>
          <w:numId w:val="3"/>
        </w:numPr>
        <w:spacing w:line="480" w:lineRule="exact"/>
        <w:ind w:firstLine="567"/>
        <w:outlineLvl w:val="0"/>
        <w:rPr>
          <w:rFonts w:hint="eastAsia" w:eastAsia="仿宋_GB2312"/>
          <w:b/>
          <w:sz w:val="28"/>
        </w:rPr>
      </w:pPr>
      <w:r>
        <w:rPr>
          <w:rFonts w:hint="eastAsia" w:eastAsia="仿宋_GB2312"/>
          <w:b/>
          <w:sz w:val="28"/>
        </w:rPr>
        <w:t>协议时效和管辖：</w:t>
      </w:r>
    </w:p>
    <w:p w14:paraId="56530960">
      <w:pPr>
        <w:spacing w:line="480" w:lineRule="exact"/>
        <w:ind w:firstLine="567"/>
        <w:rPr>
          <w:rFonts w:hint="eastAsia" w:eastAsia="仿宋_GB2312"/>
          <w:sz w:val="28"/>
          <w:szCs w:val="22"/>
        </w:rPr>
      </w:pPr>
      <w:r>
        <w:rPr>
          <w:rFonts w:hint="eastAsia" w:eastAsia="仿宋_GB2312"/>
          <w:sz w:val="28"/>
          <w:szCs w:val="22"/>
        </w:rPr>
        <w:t>1、甲方和乙方清楚且明白，在本协议约定的年度内，甲方不一定将本协议约定的委托事项全部委托给乙方，按照择优和比价原则，甲方将委托事项部分另行委托的，甲方无需承担违约责任。</w:t>
      </w:r>
    </w:p>
    <w:p w14:paraId="6CFFFC7D">
      <w:pPr>
        <w:spacing w:line="480" w:lineRule="exact"/>
        <w:ind w:firstLine="567"/>
        <w:rPr>
          <w:rFonts w:hint="eastAsia" w:eastAsia="仿宋_GB2312"/>
          <w:sz w:val="28"/>
        </w:rPr>
      </w:pPr>
      <w:r>
        <w:rPr>
          <w:rFonts w:hint="eastAsia" w:eastAsia="仿宋_GB2312"/>
          <w:sz w:val="28"/>
        </w:rPr>
        <w:t>2、本协议自双方盖章日生效，至协议规定的评估业务及其相应约定事项全部完成，评估服务费全部付清后自行终止。</w:t>
      </w:r>
    </w:p>
    <w:p w14:paraId="65B14820">
      <w:pPr>
        <w:spacing w:line="480" w:lineRule="exact"/>
        <w:ind w:firstLine="567"/>
        <w:rPr>
          <w:rFonts w:eastAsia="仿宋_GB2312"/>
          <w:sz w:val="28"/>
        </w:rPr>
      </w:pPr>
      <w:r>
        <w:rPr>
          <w:rFonts w:hint="eastAsia" w:eastAsia="仿宋_GB2312"/>
          <w:sz w:val="28"/>
        </w:rPr>
        <w:t>3、因为履行本协议产生争议的，双方应协商解决，协商不能解决的，任何一方有权向甲方所在地人民法院提起诉讼。</w:t>
      </w:r>
    </w:p>
    <w:p w14:paraId="5A3D7D65">
      <w:pPr>
        <w:spacing w:line="480" w:lineRule="exact"/>
        <w:jc w:val="left"/>
        <w:rPr>
          <w:rFonts w:eastAsia="仿宋_GB2312"/>
          <w:b/>
          <w:sz w:val="28"/>
          <w:szCs w:val="28"/>
          <w:lang w:val="en-US" w:eastAsia="zh-CN"/>
        </w:rPr>
      </w:pPr>
      <w:r>
        <w:rPr>
          <w:rFonts w:hint="eastAsia" w:eastAsia="仿宋_GB2312"/>
          <w:b/>
          <w:sz w:val="28"/>
          <w:szCs w:val="28"/>
          <w:lang w:val="en-US" w:eastAsia="zh-CN"/>
        </w:rPr>
        <w:t xml:space="preserve">    4、本项目中双方的招投标文件，是合同的重要组成部分。</w:t>
      </w:r>
    </w:p>
    <w:p w14:paraId="1DA6C5E2">
      <w:pPr>
        <w:spacing w:line="480" w:lineRule="exact"/>
        <w:jc w:val="left"/>
        <w:rPr>
          <w:rFonts w:eastAsia="仿宋_GB2312"/>
          <w:b/>
          <w:sz w:val="28"/>
          <w:szCs w:val="28"/>
        </w:rPr>
      </w:pPr>
    </w:p>
    <w:p w14:paraId="620DDC8C">
      <w:pPr>
        <w:spacing w:line="480" w:lineRule="exact"/>
        <w:jc w:val="left"/>
        <w:rPr>
          <w:rFonts w:eastAsia="仿宋_GB2312"/>
          <w:b/>
          <w:sz w:val="28"/>
          <w:szCs w:val="28"/>
        </w:rPr>
      </w:pPr>
    </w:p>
    <w:p w14:paraId="6AE6C0C2">
      <w:pPr>
        <w:spacing w:line="480" w:lineRule="exact"/>
        <w:jc w:val="left"/>
        <w:rPr>
          <w:rFonts w:eastAsia="仿宋_GB2312"/>
          <w:b/>
          <w:sz w:val="28"/>
          <w:szCs w:val="28"/>
        </w:rPr>
      </w:pPr>
      <w:r>
        <w:rPr>
          <w:rFonts w:hint="eastAsia" w:eastAsia="仿宋_GB2312"/>
          <w:sz w:val="28"/>
          <w:szCs w:val="28"/>
        </w:rPr>
        <w:t>甲方(公章)：</w:t>
      </w:r>
      <w:r>
        <w:rPr>
          <w:rFonts w:hint="eastAsia" w:eastAsia="仿宋_GB2312"/>
          <w:b/>
          <w:sz w:val="28"/>
          <w:szCs w:val="28"/>
        </w:rPr>
        <w:t>湖北日报传媒集团</w:t>
      </w:r>
    </w:p>
    <w:p w14:paraId="02CFED65">
      <w:pPr>
        <w:spacing w:line="480" w:lineRule="exact"/>
        <w:rPr>
          <w:rFonts w:eastAsia="仿宋_GB2312"/>
          <w:b/>
          <w:sz w:val="28"/>
          <w:szCs w:val="28"/>
          <w:lang w:val="en-US" w:eastAsia="zh-CN"/>
        </w:rPr>
      </w:pPr>
      <w:r>
        <w:rPr>
          <w:rFonts w:hint="eastAsia" w:eastAsia="仿宋_GB2312"/>
          <w:sz w:val="28"/>
          <w:szCs w:val="28"/>
        </w:rPr>
        <w:t>法定代表人或授权人(签字)：</w:t>
      </w:r>
    </w:p>
    <w:p w14:paraId="08C0A1E8">
      <w:pPr>
        <w:spacing w:line="480" w:lineRule="exact"/>
        <w:rPr>
          <w:rFonts w:eastAsia="仿宋_GB2312"/>
          <w:b/>
          <w:sz w:val="28"/>
          <w:szCs w:val="28"/>
        </w:rPr>
      </w:pPr>
    </w:p>
    <w:p w14:paraId="55671123">
      <w:pPr>
        <w:spacing w:line="480" w:lineRule="exact"/>
        <w:rPr>
          <w:rFonts w:eastAsia="仿宋_GB2312"/>
          <w:b/>
          <w:sz w:val="28"/>
          <w:szCs w:val="28"/>
        </w:rPr>
      </w:pPr>
    </w:p>
    <w:p w14:paraId="157F4C53">
      <w:pPr>
        <w:spacing w:line="480" w:lineRule="exact"/>
        <w:jc w:val="left"/>
        <w:rPr>
          <w:rFonts w:eastAsia="仿宋_GB2312"/>
          <w:b/>
          <w:sz w:val="28"/>
          <w:szCs w:val="28"/>
        </w:rPr>
      </w:pPr>
    </w:p>
    <w:p w14:paraId="3DD71728">
      <w:pPr>
        <w:spacing w:line="480" w:lineRule="exact"/>
        <w:jc w:val="left"/>
        <w:rPr>
          <w:rFonts w:hint="eastAsia" w:eastAsia="仿宋_GB2312"/>
          <w:b/>
          <w:sz w:val="28"/>
          <w:szCs w:val="28"/>
        </w:rPr>
      </w:pPr>
      <w:r>
        <w:rPr>
          <w:rFonts w:hint="eastAsia" w:eastAsia="仿宋_GB2312"/>
          <w:sz w:val="28"/>
          <w:szCs w:val="28"/>
        </w:rPr>
        <w:t>乙方(公章)：</w:t>
      </w:r>
    </w:p>
    <w:p w14:paraId="66FDA9BE">
      <w:pPr>
        <w:spacing w:line="480" w:lineRule="exact"/>
        <w:rPr>
          <w:rFonts w:eastAsia="仿宋_GB2312"/>
          <w:b/>
          <w:sz w:val="28"/>
          <w:szCs w:val="28"/>
        </w:rPr>
      </w:pPr>
      <w:r>
        <w:rPr>
          <w:rFonts w:hint="eastAsia" w:eastAsia="仿宋_GB2312"/>
          <w:sz w:val="28"/>
          <w:szCs w:val="28"/>
        </w:rPr>
        <w:t>法定代表人或授权人(签字)：</w:t>
      </w:r>
    </w:p>
    <w:p w14:paraId="21C2FBD4">
      <w:pPr>
        <w:spacing w:line="480" w:lineRule="exact"/>
        <w:rPr>
          <w:rFonts w:eastAsia="仿宋_GB2312"/>
          <w:sz w:val="28"/>
          <w:szCs w:val="28"/>
        </w:rPr>
      </w:pPr>
    </w:p>
    <w:p w14:paraId="3C5CE78C">
      <w:pPr>
        <w:spacing w:line="480" w:lineRule="exact"/>
        <w:rPr>
          <w:sz w:val="28"/>
          <w:szCs w:val="28"/>
        </w:rPr>
      </w:pPr>
    </w:p>
    <w:p w14:paraId="1441CE52">
      <w:pPr>
        <w:spacing w:line="480" w:lineRule="exact"/>
        <w:rPr>
          <w:sz w:val="28"/>
          <w:szCs w:val="28"/>
        </w:rPr>
      </w:pPr>
    </w:p>
    <w:p w14:paraId="75D8F7D3">
      <w:pPr>
        <w:spacing w:line="480" w:lineRule="exact"/>
        <w:rPr>
          <w:sz w:val="28"/>
          <w:szCs w:val="28"/>
        </w:rPr>
      </w:pPr>
    </w:p>
    <w:p w14:paraId="58D624EB">
      <w:pPr>
        <w:pStyle w:val="9"/>
        <w:spacing w:line="480" w:lineRule="exact"/>
        <w:rPr>
          <w:rFonts w:eastAsia="仿宋_GB2312"/>
          <w:b/>
          <w:color w:val="FF0000"/>
          <w:sz w:val="28"/>
        </w:rPr>
      </w:pPr>
      <w:r>
        <w:rPr>
          <w:rFonts w:hint="eastAsia"/>
          <w:b w:val="0"/>
          <w:szCs w:val="28"/>
        </w:rPr>
        <w:t xml:space="preserve">                                   二○二</w:t>
      </w:r>
      <w:r>
        <w:rPr>
          <w:rFonts w:hint="eastAsia"/>
          <w:b w:val="0"/>
          <w:szCs w:val="28"/>
          <w:lang w:val="en-US" w:eastAsia="zh-CN"/>
        </w:rPr>
        <w:t>五</w:t>
      </w:r>
      <w:r>
        <w:rPr>
          <w:rFonts w:hint="eastAsia"/>
          <w:b w:val="0"/>
          <w:szCs w:val="28"/>
        </w:rPr>
        <w:t xml:space="preserve">年  </w:t>
      </w:r>
      <w:r>
        <w:rPr>
          <w:rFonts w:hint="eastAsia"/>
          <w:b w:val="0"/>
          <w:szCs w:val="28"/>
          <w:lang w:val="en-US" w:eastAsia="zh-CN"/>
        </w:rPr>
        <w:t xml:space="preserve"> </w:t>
      </w:r>
      <w:r>
        <w:rPr>
          <w:rFonts w:hint="eastAsia"/>
          <w:b w:val="0"/>
          <w:szCs w:val="28"/>
        </w:rPr>
        <w:t>月    日</w:t>
      </w:r>
    </w:p>
    <w:p w14:paraId="6741FC6C">
      <w:pPr>
        <w:tabs>
          <w:tab w:val="left" w:pos="5400"/>
        </w:tabs>
        <w:spacing w:line="480" w:lineRule="exact"/>
        <w:rPr>
          <w:rFonts w:eastAsia="仿宋_GB2312"/>
          <w:b/>
          <w:color w:val="0000FF"/>
          <w:sz w:val="24"/>
        </w:rPr>
      </w:pPr>
    </w:p>
    <w:p w14:paraId="2E718ECB">
      <w:pPr>
        <w:tabs>
          <w:tab w:val="left" w:pos="5400"/>
        </w:tabs>
        <w:spacing w:line="480" w:lineRule="exact"/>
        <w:rPr>
          <w:rFonts w:eastAsia="仿宋_GB2312"/>
          <w:b/>
          <w:color w:val="0000FF"/>
          <w:sz w:val="24"/>
        </w:rPr>
      </w:pPr>
    </w:p>
    <w:p w14:paraId="2CC7A5CF">
      <w:pPr>
        <w:spacing w:line="460" w:lineRule="exact"/>
        <w:rPr>
          <w:rFonts w:ascii="仿宋_GB2312" w:hAnsi="仿宋_GB2312" w:eastAsia="仿宋_GB2312" w:cs="仿宋_GB2312"/>
          <w:sz w:val="32"/>
          <w:szCs w:val="32"/>
        </w:rPr>
      </w:pPr>
    </w:p>
    <w:p w14:paraId="503443B3">
      <w:pPr>
        <w:spacing w:line="460" w:lineRule="exact"/>
        <w:rPr>
          <w:rFonts w:ascii="仿宋_GB2312" w:hAnsi="仿宋_GB2312" w:eastAsia="仿宋_GB2312" w:cs="仿宋_GB2312"/>
          <w:sz w:val="32"/>
          <w:szCs w:val="32"/>
        </w:rPr>
      </w:pPr>
    </w:p>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ABAEEF8-DE23-45B7-BDAD-BF2A5A68CC3F}"/>
  </w:font>
  <w:font w:name="仿宋_GB2312">
    <w:altName w:val="仿宋"/>
    <w:panose1 w:val="02010609030101010101"/>
    <w:charset w:val="86"/>
    <w:family w:val="auto"/>
    <w:pitch w:val="default"/>
    <w:sig w:usb0="00000000" w:usb1="00000000" w:usb2="00000000" w:usb3="00000000" w:csb0="00040000" w:csb1="00000000"/>
    <w:embedRegular r:id="rId2" w:fontKey="{6D775EC3-6DF4-4836-8D6D-D23979820918}"/>
  </w:font>
  <w:font w:name="仿宋">
    <w:panose1 w:val="02010609060101010101"/>
    <w:charset w:val="86"/>
    <w:family w:val="auto"/>
    <w:pitch w:val="default"/>
    <w:sig w:usb0="800002BF" w:usb1="38CF7CFA" w:usb2="00000016" w:usb3="00000000" w:csb0="00040001" w:csb1="00000000"/>
    <w:embedRegular r:id="rId3" w:fontKey="{EF379610-7D91-4297-BEF4-FE9AF7DB6688}"/>
  </w:font>
  <w:font w:name="华文中宋">
    <w:panose1 w:val="02010600040101010101"/>
    <w:charset w:val="86"/>
    <w:family w:val="auto"/>
    <w:pitch w:val="default"/>
    <w:sig w:usb0="00000287" w:usb1="080F0000" w:usb2="00000000" w:usb3="00000000" w:csb0="0004009F" w:csb1="DFD70000"/>
    <w:embedRegular r:id="rId4" w:fontKey="{501959E0-93C0-4EB7-9C32-B35ECF1FAA62}"/>
  </w:font>
  <w:font w:name="微软雅黑">
    <w:panose1 w:val="020B0503020204020204"/>
    <w:charset w:val="86"/>
    <w:family w:val="auto"/>
    <w:pitch w:val="default"/>
    <w:sig w:usb0="80000287" w:usb1="2ACF3C50" w:usb2="00000016" w:usb3="00000000" w:csb0="0004001F" w:csb1="00000000"/>
    <w:embedRegular r:id="rId5" w:fontKey="{01565335-07C1-4FDA-93C6-F9B2143A79BB}"/>
  </w:font>
  <w:font w:name="小标宋">
    <w:altName w:val="微软雅黑"/>
    <w:panose1 w:val="00000000000000000000"/>
    <w:charset w:val="86"/>
    <w:family w:val="auto"/>
    <w:pitch w:val="default"/>
    <w:sig w:usb0="00000000" w:usb1="00000000" w:usb2="00000010" w:usb3="00000000" w:csb0="00040000" w:csb1="00000000"/>
    <w:embedRegular r:id="rId6" w:fontKey="{702DF8F9-F8D1-4D7A-B830-E491E4B16C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CBAB2">
    <w:pPr>
      <w:pStyle w:val="4"/>
      <w:framePr w:wrap="around" w:vAnchor="text" w:hAnchor="margin" w:xAlign="center" w:y="1"/>
      <w:tabs>
        <w:tab w:val="clear" w:pos="4153"/>
        <w:tab w:val="clear" w:pos="8306"/>
      </w:tabs>
    </w:pPr>
    <w:r>
      <w:fldChar w:fldCharType="begin"/>
    </w:r>
    <w:r>
      <w:rPr>
        <w:rStyle w:val="8"/>
      </w:rPr>
      <w:instrText xml:space="preserve">PAGE  </w:instrText>
    </w:r>
    <w:r>
      <w:fldChar w:fldCharType="separate"/>
    </w:r>
    <w:r>
      <w:rPr>
        <w:rStyle w:val="8"/>
      </w:rPr>
      <w:t>1</w:t>
    </w:r>
    <w:r>
      <w:fldChar w:fldCharType="end"/>
    </w:r>
  </w:p>
  <w:p w14:paraId="53BB538E">
    <w:pPr>
      <w:pStyle w:val="4"/>
      <w:tabs>
        <w:tab w:val="clear" w:pos="4153"/>
        <w:tab w:val="clear" w:pos="8306"/>
      </w:tabs>
      <w:ind w:right="360" w:firstLine="4410" w:firstLineChars="2450"/>
      <w:rPr>
        <w:rFonts w:hint="eastAsia"/>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E640D">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0"/>
      <w:numFmt w:val="chineseCounting"/>
      <w:suff w:val="nothing"/>
      <w:lvlText w:val="%1、"/>
      <w:lvlJc w:val="left"/>
      <w:rPr>
        <w:rFonts w:hint="eastAsia"/>
      </w:r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7"/>
    <w:multiLevelType w:val="singleLevel"/>
    <w:tmpl w:val="00000007"/>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0E775E3"/>
    <w:rsid w:val="312B7BC2"/>
    <w:rsid w:val="38673C95"/>
    <w:rsid w:val="45F334A8"/>
    <w:rsid w:val="63D31F51"/>
    <w:rsid w:val="665173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autoSpaceDE/>
      <w:autoSpaceDN/>
      <w:snapToGrid/>
      <w:jc w:val="both"/>
    </w:pPr>
    <w:rPr>
      <w:rFonts w:hint="eastAsia" w:ascii="Times New Roman" w:hAnsi="Times New Roman" w:eastAsia="宋体" w:cs="Times New Roman"/>
      <w:kern w:val="2"/>
      <w:sz w:val="21"/>
      <w:szCs w:val="22"/>
      <w:lang w:val="en-US" w:eastAsia="zh-CN" w:bidi="ar-SA"/>
    </w:rPr>
  </w:style>
  <w:style w:type="character" w:default="1" w:styleId="7">
    <w:name w:val="Default Paragraph Font"/>
    <w:link w:val="1"/>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8"/>
    </w:rPr>
  </w:style>
  <w:style w:type="paragraph" w:styleId="3">
    <w:name w:val="Body Text"/>
    <w:basedOn w:val="1"/>
    <w:qFormat/>
    <w:uiPriority w:val="0"/>
    <w:rPr>
      <w:rFonts w:ascii="Times New Roman" w:hAnsi="Times New Roman" w:eastAsia="仿宋_GB2312" w:cs="Times New Roman"/>
      <w:sz w:val="28"/>
    </w:rPr>
  </w:style>
  <w:style w:type="paragraph" w:styleId="4">
    <w:name w:val="footer"/>
    <w:basedOn w:val="1"/>
    <w:qFormat/>
    <w:uiPriority w:val="0"/>
    <w:pPr>
      <w:tabs>
        <w:tab w:val="center" w:pos="4153"/>
        <w:tab w:val="right" w:pos="8306"/>
      </w:tabs>
      <w:jc w:val="left"/>
    </w:pPr>
    <w:rPr>
      <w:sz w:val="18"/>
    </w:rPr>
  </w:style>
  <w:style w:type="paragraph" w:styleId="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rFonts w:ascii="Times New Roman" w:hAnsi="Times New Roman"/>
      <w:sz w:val="18"/>
    </w:rPr>
  </w:style>
  <w:style w:type="character" w:styleId="8">
    <w:name w:val="page number"/>
    <w:basedOn w:val="7"/>
    <w:link w:val="1"/>
    <w:qFormat/>
    <w:uiPriority w:val="0"/>
    <w:rPr>
      <w:rFonts w:ascii="Times New Roman" w:hAnsi="Times New Roman" w:eastAsia="宋体" w:cs="Times New Roman"/>
    </w:rPr>
  </w:style>
  <w:style w:type="paragraph" w:customStyle="1" w:styleId="9">
    <w:name w:val="Date1"/>
    <w:basedOn w:val="1"/>
    <w:next w:val="1"/>
    <w:qFormat/>
    <w:uiPriority w:val="0"/>
    <w:rPr>
      <w:rFonts w:ascii="Times New Roman" w:hAnsi="Times New Roman" w:eastAsia="仿宋_GB2312" w:cs="Times New Roman"/>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5325</Words>
  <Characters>5523</Characters>
  <TotalTime>3</TotalTime>
  <ScaleCrop>false</ScaleCrop>
  <LinksUpToDate>false</LinksUpToDate>
  <CharactersWithSpaces>5839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2025-02-10T16:34:00Z</dcterms:created>
  <dc:creator>liuyanh</dc:creator>
  <cp:lastModifiedBy>刘艳</cp:lastModifiedBy>
  <dcterms:modified xsi:type="dcterms:W3CDTF">2025-02-11T08:09:51Z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eyJoZGlkIjoiYWY5MmZhZGIwOWZjMjNkZWVhMmQ3MjM2MTIyZmU5YTEiLCJ1c2VySWQiOiIxNDc4MjU0ODYxIn0=</vt:lpwstr>
  </property>
  <property fmtid="{D5CDD505-2E9C-101B-9397-08002B2CF9AE}" pid="3" name="KSOProductBuildVer">
    <vt:lpwstr>2052-12.1.0.19302</vt:lpwstr>
  </property>
  <property fmtid="{D5CDD505-2E9C-101B-9397-08002B2CF9AE}" pid="4" name="ICV">
    <vt:lpwstr>CDE2AACF6B77414BA73035C80BD22B6E_12</vt:lpwstr>
  </property>
</Properties>
</file>