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napToGrid w:val="0"/>
        <w:spacing w:beforeAutospacing="0" w:afterAutospacing="0"/>
        <w:rPr>
          <w:rFonts w:hint="eastAsia" w:ascii="黑体" w:hAnsi="黑体" w:eastAsia="黑体" w:cs="黑体"/>
          <w:sz w:val="32"/>
          <w:szCs w:val="32"/>
        </w:rPr>
      </w:pPr>
      <w:r>
        <w:rPr>
          <w:rFonts w:hint="eastAsia" w:ascii="黑体" w:hAnsi="黑体" w:eastAsia="黑体" w:cs="黑体"/>
          <w:sz w:val="32"/>
          <w:szCs w:val="32"/>
        </w:rPr>
        <w:t>附件</w:t>
      </w:r>
    </w:p>
    <w:p>
      <w:pPr>
        <w:pStyle w:val="4"/>
        <w:widowControl w:val="0"/>
        <w:snapToGrid w:val="0"/>
        <w:spacing w:beforeAutospacing="0" w:afterAutospacing="0"/>
        <w:jc w:val="center"/>
        <w:rPr>
          <w:rFonts w:hint="eastAsia" w:ascii="方正小标宋简体" w:hAnsi="方正小标宋简体" w:eastAsia="方正小标宋简体" w:cs="方正小标宋简体"/>
          <w:color w:val="000000"/>
          <w:sz w:val="32"/>
          <w:szCs w:val="32"/>
        </w:rPr>
      </w:pPr>
      <w:bookmarkStart w:id="0" w:name="_GoBack"/>
      <w:r>
        <w:rPr>
          <w:rFonts w:hint="eastAsia" w:ascii="方正小标宋简体" w:hAnsi="方正小标宋简体" w:eastAsia="方正小标宋简体" w:cs="方正小标宋简体"/>
          <w:sz w:val="40"/>
          <w:szCs w:val="48"/>
        </w:rPr>
        <w:t>省安委会2020年挂牌督办重大安全隐患一览表</w:t>
      </w:r>
    </w:p>
    <w:bookmarkEnd w:id="0"/>
    <w:tbl>
      <w:tblPr>
        <w:tblStyle w:val="5"/>
        <w:tblW w:w="13481" w:type="dxa"/>
        <w:jc w:val="center"/>
        <w:tblLayout w:type="fixed"/>
        <w:tblCellMar>
          <w:top w:w="15" w:type="dxa"/>
          <w:left w:w="15" w:type="dxa"/>
          <w:bottom w:w="15" w:type="dxa"/>
          <w:right w:w="15" w:type="dxa"/>
        </w:tblCellMar>
      </w:tblPr>
      <w:tblGrid>
        <w:gridCol w:w="422"/>
        <w:gridCol w:w="1312"/>
        <w:gridCol w:w="1376"/>
        <w:gridCol w:w="3454"/>
        <w:gridCol w:w="2551"/>
        <w:gridCol w:w="1377"/>
        <w:gridCol w:w="909"/>
        <w:gridCol w:w="1025"/>
        <w:gridCol w:w="1055"/>
      </w:tblGrid>
      <w:tr>
        <w:tblPrEx>
          <w:tblCellMar>
            <w:top w:w="15" w:type="dxa"/>
            <w:left w:w="15" w:type="dxa"/>
            <w:bottom w:w="15" w:type="dxa"/>
            <w:right w:w="15" w:type="dxa"/>
          </w:tblCellMar>
        </w:tblPrEx>
        <w:trPr>
          <w:trHeight w:val="748" w:hRule="atLeast"/>
          <w:tblHeader/>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b/>
                <w:color w:val="333333"/>
                <w:szCs w:val="21"/>
              </w:rPr>
            </w:pPr>
            <w:r>
              <w:rPr>
                <w:rFonts w:hint="eastAsia" w:ascii="仿宋_GB2312" w:hAnsi="仿宋" w:eastAsia="仿宋_GB2312" w:cs="仿宋"/>
                <w:b/>
                <w:color w:val="333333"/>
                <w:kern w:val="0"/>
                <w:szCs w:val="21"/>
                <w:lang w:bidi="ar"/>
              </w:rPr>
              <w:t>总序</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单位隐患名称</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地址</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隐患主要内容</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整改要求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kern w:val="0"/>
                <w:szCs w:val="21"/>
                <w:lang w:bidi="ar"/>
              </w:rPr>
            </w:pPr>
            <w:r>
              <w:rPr>
                <w:rFonts w:hint="eastAsia" w:ascii="仿宋_GB2312" w:hAnsi="宋体" w:eastAsia="仿宋_GB2312" w:cs="宋体"/>
                <w:b/>
                <w:color w:val="333333"/>
                <w:kern w:val="0"/>
                <w:szCs w:val="21"/>
                <w:lang w:bidi="ar"/>
              </w:rPr>
              <w:t>责任</w:t>
            </w:r>
          </w:p>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单位</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kern w:val="0"/>
                <w:szCs w:val="21"/>
                <w:lang w:bidi="ar"/>
              </w:rPr>
            </w:pPr>
            <w:r>
              <w:rPr>
                <w:rFonts w:hint="eastAsia" w:ascii="仿宋_GB2312" w:hAnsi="宋体" w:eastAsia="仿宋_GB2312" w:cs="宋体"/>
                <w:b/>
                <w:color w:val="333333"/>
                <w:kern w:val="0"/>
                <w:szCs w:val="21"/>
                <w:lang w:bidi="ar"/>
              </w:rPr>
              <w:t>督办</w:t>
            </w:r>
          </w:p>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市州</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kern w:val="0"/>
                <w:szCs w:val="21"/>
                <w:lang w:bidi="ar"/>
              </w:rPr>
            </w:pPr>
            <w:r>
              <w:rPr>
                <w:rFonts w:hint="eastAsia" w:ascii="仿宋_GB2312" w:hAnsi="宋体" w:eastAsia="仿宋_GB2312" w:cs="宋体"/>
                <w:b/>
                <w:color w:val="333333"/>
                <w:kern w:val="0"/>
                <w:szCs w:val="21"/>
                <w:lang w:bidi="ar"/>
              </w:rPr>
              <w:t>督办</w:t>
            </w:r>
          </w:p>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厅局</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宋体"/>
                <w:b/>
                <w:color w:val="333333"/>
                <w:kern w:val="0"/>
                <w:szCs w:val="21"/>
                <w:lang w:bidi="ar"/>
              </w:rPr>
            </w:pPr>
            <w:r>
              <w:rPr>
                <w:rFonts w:hint="eastAsia" w:ascii="仿宋_GB2312" w:hAnsi="宋体" w:eastAsia="仿宋_GB2312" w:cs="宋体"/>
                <w:b/>
                <w:color w:val="333333"/>
                <w:kern w:val="0"/>
                <w:szCs w:val="21"/>
                <w:lang w:bidi="ar"/>
              </w:rPr>
              <w:t>完成</w:t>
            </w:r>
          </w:p>
          <w:p>
            <w:pPr>
              <w:widowControl/>
              <w:spacing w:line="300" w:lineRule="exact"/>
              <w:jc w:val="center"/>
              <w:textAlignment w:val="center"/>
              <w:rPr>
                <w:rFonts w:hint="eastAsia" w:ascii="仿宋_GB2312" w:hAnsi="宋体" w:eastAsia="仿宋_GB2312" w:cs="宋体"/>
                <w:b/>
                <w:color w:val="333333"/>
                <w:szCs w:val="21"/>
              </w:rPr>
            </w:pPr>
            <w:r>
              <w:rPr>
                <w:rFonts w:hint="eastAsia" w:ascii="仿宋_GB2312" w:hAnsi="宋体" w:eastAsia="仿宋_GB2312" w:cs="宋体"/>
                <w:b/>
                <w:color w:val="333333"/>
                <w:kern w:val="0"/>
                <w:szCs w:val="21"/>
                <w:lang w:bidi="ar"/>
              </w:rPr>
              <w:t>时间</w:t>
            </w:r>
          </w:p>
        </w:tc>
      </w:tr>
      <w:tr>
        <w:tblPrEx>
          <w:tblCellMar>
            <w:top w:w="15" w:type="dxa"/>
            <w:left w:w="15" w:type="dxa"/>
            <w:bottom w:w="15" w:type="dxa"/>
            <w:right w:w="15" w:type="dxa"/>
          </w:tblCellMar>
        </w:tblPrEx>
        <w:trPr>
          <w:trHeight w:val="636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kern w:val="0"/>
                <w:szCs w:val="21"/>
                <w:lang w:bidi="ar"/>
              </w:rPr>
            </w:pPr>
            <w:r>
              <w:rPr>
                <w:rFonts w:hint="eastAsia" w:ascii="仿宋_GB2312" w:hAnsi="宋体" w:eastAsia="仿宋_GB2312" w:cs="仿宋_GB2312"/>
                <w:color w:val="000000"/>
                <w:kern w:val="0"/>
                <w:szCs w:val="21"/>
                <w:lang w:bidi="ar"/>
              </w:rPr>
              <w:t>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武汉市江夏区金水办事处金康庭苑小区</w:t>
            </w:r>
            <w:r>
              <w:rPr>
                <w:rStyle w:val="7"/>
                <w:rFonts w:hint="eastAsia" w:ascii="仿宋_GB2312" w:eastAsia="仿宋_GB2312"/>
                <w:sz w:val="21"/>
                <w:szCs w:val="21"/>
                <w:lang w:bidi="ar"/>
              </w:rPr>
              <w:t>消防安全隐患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江夏区金水办事处金康庭苑小区</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1.小区生活和消防采用临时用电；2.消防联动设施（火灾自动报警系统.正压送风系统）未启用；3.消防水泵房未保持完好有效、室内消火栓无水；4.消防控制室未启用；5.电缆井未按要求进行封堵；6.未建立微型消防站，应急处置力量薄弱。</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1.按照建筑设计防火规范，确保建筑及消防用电符合建筑设计防火规范要求。2.修复火灾自动报警系统、正压送风系统，并确保正常运行。3.修复消防水泵房设施，确保完好有效，确保室内消火栓水压正常。4.迅速招录人员落实24小时值班值守制度，值班人员需持证上岗，符合消防控制室管理规定。5.电缆井、管道井与房间、走道等相连通的孔隙应采用防火封堵材料进行封堵。6.按要求建立微型消防站且配齐配足人员，确保人员、装备经费。</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江夏区人民政府、武汉市消防救援支队</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武汉市人民政府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省消防救援总队</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kern w:val="0"/>
                <w:szCs w:val="21"/>
                <w:lang w:bidi="ar"/>
              </w:rPr>
            </w:pPr>
            <w:r>
              <w:rPr>
                <w:rFonts w:hint="eastAsia" w:ascii="仿宋_GB2312" w:hAnsi="宋体" w:eastAsia="仿宋_GB2312" w:cs="仿宋_GB2312"/>
                <w:color w:val="000000"/>
                <w:kern w:val="0"/>
                <w:szCs w:val="21"/>
                <w:lang w:bidi="ar"/>
              </w:rPr>
              <w:t>11月30日</w:t>
            </w:r>
          </w:p>
        </w:tc>
      </w:tr>
      <w:tr>
        <w:tblPrEx>
          <w:tblCellMar>
            <w:top w:w="15" w:type="dxa"/>
            <w:left w:w="15" w:type="dxa"/>
            <w:bottom w:w="15" w:type="dxa"/>
            <w:right w:w="15" w:type="dxa"/>
          </w:tblCellMar>
        </w:tblPrEx>
        <w:trPr>
          <w:trHeight w:val="2272"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Style w:val="8"/>
                <w:rFonts w:hAnsi="宋体"/>
                <w:sz w:val="21"/>
                <w:szCs w:val="21"/>
                <w:lang w:bidi="ar"/>
              </w:rPr>
              <w:t>黄石市经济技术开发区工业平台建设引起的杆塔“孤岛”</w:t>
            </w:r>
            <w:r>
              <w:rPr>
                <w:rStyle w:val="9"/>
                <w:rFonts w:hint="eastAsia" w:ascii="仿宋_GB2312" w:eastAsia="仿宋_GB2312"/>
                <w:sz w:val="21"/>
                <w:szCs w:val="21"/>
                <w:lang w:bidi="ar"/>
              </w:rPr>
              <w:t>电力安全隐患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黄石市经济技术开发区</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Style w:val="8"/>
                <w:rFonts w:hAnsi="宋体"/>
                <w:sz w:val="21"/>
                <w:szCs w:val="21"/>
                <w:lang w:bidi="ar"/>
              </w:rPr>
              <w:t>开发区</w:t>
            </w:r>
            <w:r>
              <w:rPr>
                <w:rFonts w:hint="eastAsia" w:eastAsia="仿宋_GB2312"/>
                <w:color w:val="000000"/>
                <w:kern w:val="0"/>
                <w:szCs w:val="21"/>
                <w:lang w:bidi="ar"/>
              </w:rPr>
              <w:t>•</w:t>
            </w:r>
            <w:r>
              <w:rPr>
                <w:rStyle w:val="8"/>
                <w:rFonts w:hAnsi="宋体"/>
                <w:sz w:val="21"/>
                <w:szCs w:val="21"/>
                <w:lang w:bidi="ar"/>
              </w:rPr>
              <w:t>铁山区建设局组织实施3800亩工业平台建设场地取土施工，造成棵板线、塞磁线、韦连线、连桃二回等4条220千伏输电线路12处电力杆塔处于“孤岛”状况，存在电力安全隐患。</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搬迁线路，拆除原有高压电杆，消除工业平台建设引起的杆塔“孤岛”隐患。</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Style w:val="8"/>
                <w:rFonts w:hAnsi="宋体"/>
                <w:sz w:val="21"/>
                <w:szCs w:val="21"/>
                <w:lang w:bidi="ar"/>
              </w:rPr>
              <w:t>黄石市经济技术开发区</w:t>
            </w:r>
            <w:r>
              <w:rPr>
                <w:rFonts w:hint="eastAsia" w:ascii="仿宋_GB2312" w:hAnsi="宋体" w:cs="宋体"/>
                <w:color w:val="000000"/>
                <w:kern w:val="0"/>
                <w:szCs w:val="21"/>
                <w:lang w:bidi="ar"/>
              </w:rPr>
              <w:t>•</w:t>
            </w:r>
            <w:r>
              <w:rPr>
                <w:rStyle w:val="8"/>
                <w:rFonts w:hAnsi="宋体"/>
                <w:sz w:val="21"/>
                <w:szCs w:val="21"/>
                <w:lang w:bidi="ar"/>
              </w:rPr>
              <w:t>铁山区建设局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黄石市人民政府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省能源局</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CellMar>
            <w:top w:w="15" w:type="dxa"/>
            <w:left w:w="15" w:type="dxa"/>
            <w:bottom w:w="15" w:type="dxa"/>
            <w:right w:w="15" w:type="dxa"/>
          </w:tblCellMar>
        </w:tblPrEx>
        <w:trPr>
          <w:trHeight w:val="1544"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宜都市高坝洲双坪路与S254省道交叉路口交通安全隐患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宜昌宜都市S254与双坪路（高坝洲集镇路口）交叉路口</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该交叉路口不规范，S254省道车流大、车速快、高坝洲集镇二轮摩托车、三轮摩托车转弯驶入S254省道易发生交通事故。</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在交叉路口加装道路交通安全红绿灯、安装电子警察设备，并改造为十字路口。</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宜都市公安局、宜都市交通运输局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省公安交管局、省交通运输厅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CellMar>
            <w:top w:w="15" w:type="dxa"/>
            <w:left w:w="15" w:type="dxa"/>
            <w:bottom w:w="15" w:type="dxa"/>
            <w:right w:w="15" w:type="dxa"/>
          </w:tblCellMar>
        </w:tblPrEx>
        <w:trPr>
          <w:trHeight w:val="2280"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宜昌点军区土城乡车溪景区消防管道老化消防安全隐患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宜昌点军区土城乡车溪景区车溪老街</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车溪景区车溪老街消防主管道老化，部分消防栓缺水。</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对车溪老街消防管道主管道进行全面更换，确保各消防栓水量充足，满足消防灭火需要。</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宜昌车溪文化旅游发展有限公司</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宜昌市人民政府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省文化和旅游厅、省消防救援总队</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CellMar>
            <w:top w:w="15" w:type="dxa"/>
            <w:left w:w="15" w:type="dxa"/>
            <w:bottom w:w="15" w:type="dxa"/>
            <w:right w:w="15" w:type="dxa"/>
          </w:tblCellMar>
        </w:tblPrEx>
        <w:trPr>
          <w:trHeight w:val="1275"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十堰市郧阳区郧县白浪老蔡沟尾矿库安全隐患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十堰市郧阳区白浪镇袁家湾村四组</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尾矿库无排洪设施，坝体稳定性较差。</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闭库治理。</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十堰市昌欣生态修复有限公司、十堰市应急管理局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十堰市人民政府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省应急管理厅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CellMar>
            <w:top w:w="15" w:type="dxa"/>
            <w:left w:w="15" w:type="dxa"/>
            <w:bottom w:w="15" w:type="dxa"/>
            <w:right w:w="15" w:type="dxa"/>
          </w:tblCellMar>
        </w:tblPrEx>
        <w:trPr>
          <w:trHeight w:val="1550"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孝感市孝南区朋兴乡三河联通沈新河区跨河桥梁危桥安全隐患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孝感市孝南区朋兴乡沈新村</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桥墩和桥梁出现大口径的龟裂，存在重大安全隐患。</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对桥梁进行维修加固。</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孝感市水利</w:t>
            </w:r>
          </w:p>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湖泊局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孝感市人民政府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省水利厅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CellMar>
            <w:top w:w="15" w:type="dxa"/>
            <w:left w:w="15" w:type="dxa"/>
            <w:bottom w:w="15" w:type="dxa"/>
            <w:right w:w="15" w:type="dxa"/>
          </w:tblCellMar>
        </w:tblPrEx>
        <w:trPr>
          <w:trHeight w:val="2221" w:hRule="atLeast"/>
          <w:jc w:val="center"/>
        </w:trPr>
        <w:tc>
          <w:tcPr>
            <w:tcW w:w="422"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7</w:t>
            </w:r>
          </w:p>
        </w:tc>
        <w:tc>
          <w:tcPr>
            <w:tcW w:w="1312"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鄂州市鄂城区武汉港工业园恒彩包装公司办公房危房安全隐患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鄂州市鄂城区樊口街道武汉港工业园恒彩包装公司</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武汉港工业园恒彩包装公司厂房内东北角设有五间办公室，其办公室的外墙、隔墙出现开裂、倾斜现象，地面沉降、起拱，办公室有坍塌可能。另天花板上敷设电源线，如墙面倒塌会顺势扯断电气线路。</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办公室整体拆除。</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鄂州市鄂城区人民政府</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鄂州市人民政府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省应急管理厅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CellMar>
            <w:top w:w="15" w:type="dxa"/>
            <w:left w:w="15" w:type="dxa"/>
            <w:bottom w:w="15" w:type="dxa"/>
            <w:right w:w="15" w:type="dxa"/>
          </w:tblCellMar>
        </w:tblPrEx>
        <w:trPr>
          <w:trHeight w:val="1279"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szCs w:val="21"/>
              </w:rPr>
            </w:pPr>
            <w:r>
              <w:rPr>
                <w:rFonts w:hint="eastAsia" w:ascii="仿宋_GB2312" w:hAnsi="宋体" w:eastAsia="仿宋_GB2312" w:cs="仿宋_GB2312"/>
                <w:color w:val="000000"/>
                <w:kern w:val="0"/>
                <w:szCs w:val="21"/>
                <w:lang w:bidi="ar"/>
              </w:rPr>
              <w:t>8</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黄冈市黄州商城消防安全隐患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黄冈市黄州区</w:t>
            </w:r>
          </w:p>
        </w:tc>
        <w:tc>
          <w:tcPr>
            <w:tcW w:w="3454"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防火分隔、安全疏散、消防设施、电气线路敷设不符合消防技术要求。</w:t>
            </w:r>
          </w:p>
        </w:tc>
        <w:tc>
          <w:tcPr>
            <w:tcW w:w="2551"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全面落实消防安全责任制，对问题逐一销号、隐患全面消除，坚决预防和遏制重大火灾事故发生。</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黄州区人民政府、黄冈市消防救援支队</w:t>
            </w:r>
          </w:p>
        </w:tc>
        <w:tc>
          <w:tcPr>
            <w:tcW w:w="909" w:type="dxa"/>
            <w:tcBorders>
              <w:top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黄冈市人民政府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省消防救援总队</w:t>
            </w:r>
          </w:p>
        </w:tc>
        <w:tc>
          <w:tcPr>
            <w:tcW w:w="1055"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2020年11月30日</w:t>
            </w:r>
          </w:p>
        </w:tc>
      </w:tr>
      <w:tr>
        <w:tblPrEx>
          <w:tblCellMar>
            <w:top w:w="15" w:type="dxa"/>
            <w:left w:w="15" w:type="dxa"/>
            <w:bottom w:w="15" w:type="dxa"/>
            <w:right w:w="15" w:type="dxa"/>
          </w:tblCellMar>
        </w:tblPrEx>
        <w:trPr>
          <w:trHeight w:val="2475" w:hRule="atLeast"/>
          <w:jc w:val="center"/>
        </w:trPr>
        <w:tc>
          <w:tcPr>
            <w:tcW w:w="422"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szCs w:val="21"/>
              </w:rPr>
            </w:pPr>
            <w:r>
              <w:rPr>
                <w:rFonts w:hint="eastAsia" w:ascii="仿宋_GB2312" w:hAnsi="宋体" w:eastAsia="仿宋_GB2312" w:cs="仿宋_GB2312"/>
                <w:color w:val="000000"/>
                <w:kern w:val="0"/>
                <w:szCs w:val="21"/>
                <w:lang w:bidi="ar"/>
              </w:rPr>
              <w:t>9</w:t>
            </w:r>
          </w:p>
        </w:tc>
        <w:tc>
          <w:tcPr>
            <w:tcW w:w="1312"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随州市随县鲁峡片麻岩矿尾矿库安全隐患</w:t>
            </w:r>
          </w:p>
        </w:tc>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随县万和镇</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尾矿库排水井部分垮塌，排渗管道破裂，排洪能力受影响。</w:t>
            </w: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实行尾矿综合利用，库内尾矿沙储量降至5万立方以下，完成销库闭库治理任务。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随县应急</w:t>
            </w:r>
          </w:p>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管理局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随州市</w:t>
            </w:r>
          </w:p>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人民政府</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省应急</w:t>
            </w:r>
          </w:p>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管理厅</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2020年11月30日</w:t>
            </w:r>
          </w:p>
        </w:tc>
      </w:tr>
      <w:tr>
        <w:tblPrEx>
          <w:tblCellMar>
            <w:top w:w="15" w:type="dxa"/>
            <w:left w:w="15" w:type="dxa"/>
            <w:bottom w:w="15" w:type="dxa"/>
            <w:right w:w="15" w:type="dxa"/>
          </w:tblCellMar>
        </w:tblPrEx>
        <w:trPr>
          <w:trHeight w:val="1640"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仿宋" w:eastAsia="仿宋_GB2312" w:cs="仿宋"/>
                <w:color w:val="000000"/>
                <w:kern w:val="0"/>
                <w:szCs w:val="21"/>
                <w:lang w:bidi="ar"/>
              </w:rPr>
            </w:pPr>
            <w:r>
              <w:rPr>
                <w:rFonts w:hint="eastAsia" w:ascii="仿宋_GB2312" w:hAnsi="宋体" w:eastAsia="仿宋_GB2312" w:cs="仿宋_GB2312"/>
                <w:color w:val="000000"/>
                <w:kern w:val="0"/>
                <w:szCs w:val="21"/>
                <w:lang w:bidi="ar"/>
              </w:rPr>
              <w:t>10</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潜江市富阳化工有限公司冰机房电机安全隐患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潜江市江汉盐化工业园园区一路</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冰机房电机不防爆。</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达到防爆等级要求。</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潜江市应急</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管理局</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潜江市</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省应急</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管理厅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11月30日</w:t>
            </w:r>
          </w:p>
        </w:tc>
      </w:tr>
      <w:tr>
        <w:tblPrEx>
          <w:tblCellMar>
            <w:top w:w="15" w:type="dxa"/>
            <w:left w:w="15" w:type="dxa"/>
            <w:bottom w:w="15" w:type="dxa"/>
            <w:right w:w="15" w:type="dxa"/>
          </w:tblCellMar>
        </w:tblPrEx>
        <w:trPr>
          <w:trHeight w:val="1228"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仿宋" w:eastAsia="仿宋_GB2312" w:cs="仿宋"/>
                <w:color w:val="000000"/>
                <w:kern w:val="0"/>
                <w:szCs w:val="21"/>
                <w:lang w:bidi="ar"/>
              </w:rPr>
            </w:pPr>
            <w:r>
              <w:rPr>
                <w:rFonts w:hint="eastAsia" w:ascii="仿宋_GB2312" w:hAnsi="宋体" w:eastAsia="仿宋_GB2312" w:cs="仿宋_GB2312"/>
                <w:color w:val="000000"/>
                <w:kern w:val="0"/>
                <w:szCs w:val="21"/>
                <w:lang w:bidi="ar"/>
              </w:rPr>
              <w:t>11</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随州市妇幼保健院火灾安全隐患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曾都区青年路111号，市妇幼保健院兰花楼五楼</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病房总面积763㎡,共一层，高度为3.5M，兰花楼五楼外科病房，泡沫板房不符合防火要求，存在火灾安全隐患。</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拆除或者改扩建。</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随州市卫生</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健康委</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随州市人民政府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省卫生</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健康委</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11月30日</w:t>
            </w:r>
          </w:p>
        </w:tc>
      </w:tr>
      <w:tr>
        <w:tblPrEx>
          <w:tblCellMar>
            <w:top w:w="15" w:type="dxa"/>
            <w:left w:w="15" w:type="dxa"/>
            <w:bottom w:w="15" w:type="dxa"/>
            <w:right w:w="15" w:type="dxa"/>
          </w:tblCellMar>
        </w:tblPrEx>
        <w:trPr>
          <w:trHeight w:val="1640"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12</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中国铁路武汉局集团有限公司襄阳工务段跨铁路桥梁安全隐患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宜城市境内雷雁大道035乡道跑马山公墓附近，焦柳线K546+215公路跨铁路桥梁</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一是桥上上大堰一侧有宜城市华润燃气有限公司私自裸露架设的天燃气管道1根；二是桥头限吨牌显示10T，但该桥频繁通过40T车辆。</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一是改迁燃气挂线，二是对桥梁进行治超。</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宜城市人民政府、中铁武汉局集团有限</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公司</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襄阳市人民政府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省交通</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运输厅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11月30日</w:t>
            </w:r>
          </w:p>
        </w:tc>
      </w:tr>
      <w:tr>
        <w:tblPrEx>
          <w:tblCellMar>
            <w:top w:w="15" w:type="dxa"/>
            <w:left w:w="15" w:type="dxa"/>
            <w:bottom w:w="15" w:type="dxa"/>
            <w:right w:w="15" w:type="dxa"/>
          </w:tblCellMar>
        </w:tblPrEx>
        <w:trPr>
          <w:trHeight w:val="1525"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13</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中国铁路武汉局集团有限公司宜昌综合维修段铁路桥梁安全隐患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当阳市玉泉办事处关陵庙村</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位于宜昌市当阳市玉泉办事处关陵庙村境内，下穿焦柳铁路K673+293处桥梁，该处铁路桥梁至公路面净高4.9米，未设置限高防护架。</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请宜昌市当阳市同意我公司在该处设置限高防护架。</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当阳市人民政府、中铁武汉局集团有限</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公司</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宜昌市人民政府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省交通</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运输厅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11月30日</w:t>
            </w:r>
          </w:p>
        </w:tc>
      </w:tr>
      <w:tr>
        <w:tblPrEx>
          <w:tblCellMar>
            <w:top w:w="15" w:type="dxa"/>
            <w:left w:w="15" w:type="dxa"/>
            <w:bottom w:w="15" w:type="dxa"/>
            <w:right w:w="15" w:type="dxa"/>
          </w:tblCellMar>
        </w:tblPrEx>
        <w:trPr>
          <w:trHeight w:val="1550"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14</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恩施州来凤县凉亭桥</w:t>
            </w:r>
            <w:r>
              <w:rPr>
                <w:rFonts w:hint="eastAsia" w:ascii="仿宋_GB2312" w:hAnsi="宋体" w:eastAsia="仿宋_GB2312" w:cs="黑体"/>
                <w:color w:val="000000"/>
                <w:kern w:val="0"/>
                <w:szCs w:val="21"/>
                <w:lang w:bidi="ar"/>
              </w:rPr>
              <w:t>危桥安全隐患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来凤县凉亭桥</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2014年2月桥梁检测为D类桥梁。</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封闭加固改造。</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来凤县人民</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政府</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恩施州</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省住房和城乡</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建设厅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2020年12月31日（续2019年挂牌推进隐患）</w:t>
            </w:r>
          </w:p>
        </w:tc>
      </w:tr>
      <w:tr>
        <w:tblPrEx>
          <w:tblCellMar>
            <w:top w:w="15" w:type="dxa"/>
            <w:left w:w="15" w:type="dxa"/>
            <w:bottom w:w="15" w:type="dxa"/>
            <w:right w:w="15" w:type="dxa"/>
          </w:tblCellMar>
        </w:tblPrEx>
        <w:trPr>
          <w:trHeight w:val="1550" w:hRule="atLeast"/>
          <w:jc w:val="center"/>
        </w:trPr>
        <w:tc>
          <w:tcPr>
            <w:tcW w:w="422"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15</w:t>
            </w:r>
          </w:p>
        </w:tc>
        <w:tc>
          <w:tcPr>
            <w:tcW w:w="1312"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恩施州来凤县洪山电站桥</w:t>
            </w:r>
            <w:r>
              <w:rPr>
                <w:rFonts w:hint="eastAsia" w:ascii="仿宋_GB2312" w:hAnsi="宋体" w:eastAsia="仿宋_GB2312" w:cs="黑体"/>
                <w:color w:val="000000"/>
                <w:kern w:val="0"/>
                <w:szCs w:val="21"/>
                <w:lang w:bidi="ar"/>
              </w:rPr>
              <w:t>危桥安全隐患</w:t>
            </w:r>
          </w:p>
        </w:tc>
        <w:tc>
          <w:tcPr>
            <w:tcW w:w="1376"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来凤县洪山电站</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2014年桥梁检测为D类桥梁。</w:t>
            </w:r>
          </w:p>
        </w:tc>
        <w:tc>
          <w:tcPr>
            <w:tcW w:w="2551"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封闭加固改造。</w:t>
            </w:r>
          </w:p>
        </w:tc>
        <w:tc>
          <w:tcPr>
            <w:tcW w:w="137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来凤县人民</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政府</w:t>
            </w:r>
          </w:p>
        </w:tc>
        <w:tc>
          <w:tcPr>
            <w:tcW w:w="909"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恩施州人民政府</w:t>
            </w:r>
          </w:p>
        </w:tc>
        <w:tc>
          <w:tcPr>
            <w:tcW w:w="102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省住房和城乡</w:t>
            </w:r>
          </w:p>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建设厅</w:t>
            </w:r>
          </w:p>
        </w:tc>
        <w:tc>
          <w:tcPr>
            <w:tcW w:w="1055"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2020年12月31日（续2019年挂牌推进隐患）</w:t>
            </w:r>
          </w:p>
        </w:tc>
      </w:tr>
    </w:tbl>
    <w:p/>
    <w:sectPr>
      <w:pgSz w:w="16838" w:h="11906" w:orient="landscape"/>
      <w:pgMar w:top="1587" w:right="2098" w:bottom="1474" w:left="1984"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altName w:val="方正舒体"/>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0636D"/>
    <w:rsid w:val="0E144DCF"/>
    <w:rsid w:val="23031303"/>
    <w:rsid w:val="231B5D7C"/>
    <w:rsid w:val="397F1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font11"/>
    <w:basedOn w:val="6"/>
    <w:uiPriority w:val="0"/>
    <w:rPr>
      <w:rFonts w:ascii="黑体" w:hAnsi="宋体" w:eastAsia="黑体" w:cs="黑体"/>
      <w:color w:val="000000"/>
      <w:sz w:val="24"/>
      <w:szCs w:val="24"/>
      <w:u w:val="none"/>
    </w:rPr>
  </w:style>
  <w:style w:type="character" w:customStyle="1" w:styleId="8">
    <w:name w:val="font51"/>
    <w:basedOn w:val="6"/>
    <w:uiPriority w:val="0"/>
    <w:rPr>
      <w:rFonts w:hint="eastAsia" w:ascii="仿宋_GB2312" w:eastAsia="仿宋_GB2312" w:cs="仿宋_GB2312"/>
      <w:color w:val="000000"/>
      <w:sz w:val="24"/>
      <w:szCs w:val="24"/>
      <w:u w:val="none"/>
    </w:rPr>
  </w:style>
  <w:style w:type="character" w:customStyle="1" w:styleId="9">
    <w:name w:val="font31"/>
    <w:basedOn w:val="6"/>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弓土长成</cp:lastModifiedBy>
  <dcterms:modified xsi:type="dcterms:W3CDTF">2020-06-12T08:15:56Z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